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A88" w:rsidRDefault="00453A88" w:rsidP="00453A88">
      <w:pPr>
        <w:shd w:val="clear" w:color="auto" w:fill="FFFFFF"/>
        <w:tabs>
          <w:tab w:val="left" w:pos="858"/>
          <w:tab w:val="left" w:pos="8022"/>
        </w:tabs>
        <w:ind w:left="5103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EA6ED1" w:rsidRPr="00914FCE" w:rsidRDefault="00EA6ED1" w:rsidP="00453A88">
      <w:pPr>
        <w:shd w:val="clear" w:color="auto" w:fill="FFFFFF"/>
        <w:tabs>
          <w:tab w:val="left" w:pos="858"/>
          <w:tab w:val="left" w:pos="8022"/>
        </w:tabs>
        <w:ind w:left="5103"/>
        <w:rPr>
          <w:sz w:val="28"/>
          <w:szCs w:val="28"/>
        </w:rPr>
      </w:pPr>
      <w:r w:rsidRPr="00914FCE">
        <w:rPr>
          <w:sz w:val="28"/>
          <w:szCs w:val="28"/>
        </w:rPr>
        <w:t>прик</w:t>
      </w:r>
      <w:r w:rsidR="00453A88">
        <w:rPr>
          <w:sz w:val="28"/>
          <w:szCs w:val="28"/>
        </w:rPr>
        <w:t>азом</w:t>
      </w:r>
      <w:r w:rsidRPr="00914FCE">
        <w:rPr>
          <w:sz w:val="28"/>
          <w:szCs w:val="28"/>
        </w:rPr>
        <w:t xml:space="preserve"> министерства культуры и национальной политики области </w:t>
      </w:r>
    </w:p>
    <w:p w:rsidR="00EA6ED1" w:rsidRPr="00914FCE" w:rsidRDefault="00EA6ED1" w:rsidP="00453A88">
      <w:pPr>
        <w:shd w:val="clear" w:color="auto" w:fill="FFFFFF"/>
        <w:tabs>
          <w:tab w:val="left" w:pos="858"/>
          <w:tab w:val="left" w:pos="8022"/>
        </w:tabs>
        <w:ind w:left="5103"/>
        <w:rPr>
          <w:sz w:val="28"/>
          <w:szCs w:val="28"/>
        </w:rPr>
      </w:pPr>
      <w:r w:rsidRPr="00914FCE">
        <w:rPr>
          <w:sz w:val="28"/>
          <w:szCs w:val="28"/>
        </w:rPr>
        <w:t xml:space="preserve">от </w:t>
      </w:r>
      <w:r w:rsidR="00A114D8">
        <w:rPr>
          <w:sz w:val="28"/>
          <w:szCs w:val="28"/>
        </w:rPr>
        <w:t>07.09.2020 года</w:t>
      </w:r>
      <w:r w:rsidRPr="00914FCE">
        <w:rPr>
          <w:sz w:val="28"/>
          <w:szCs w:val="28"/>
        </w:rPr>
        <w:t xml:space="preserve"> № </w:t>
      </w:r>
      <w:r w:rsidR="00A114D8">
        <w:rPr>
          <w:sz w:val="28"/>
          <w:szCs w:val="28"/>
        </w:rPr>
        <w:t>181-ОД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rPr>
          <w:b/>
          <w:sz w:val="28"/>
          <w:szCs w:val="28"/>
        </w:rPr>
      </w:pPr>
    </w:p>
    <w:p w:rsidR="00C70B9B" w:rsidRDefault="00C70B9B" w:rsidP="006D43CC">
      <w:pPr>
        <w:shd w:val="clear" w:color="auto" w:fill="FFFFFF"/>
        <w:tabs>
          <w:tab w:val="left" w:pos="858"/>
          <w:tab w:val="left" w:pos="8022"/>
        </w:tabs>
        <w:jc w:val="center"/>
        <w:rPr>
          <w:b/>
          <w:sz w:val="28"/>
          <w:szCs w:val="28"/>
        </w:rPr>
      </w:pPr>
    </w:p>
    <w:p w:rsidR="00C70B9B" w:rsidRDefault="00C70B9B" w:rsidP="006D43CC">
      <w:pPr>
        <w:shd w:val="clear" w:color="auto" w:fill="FFFFFF"/>
        <w:tabs>
          <w:tab w:val="left" w:pos="858"/>
          <w:tab w:val="left" w:pos="8022"/>
        </w:tabs>
        <w:jc w:val="center"/>
        <w:rPr>
          <w:b/>
          <w:sz w:val="28"/>
          <w:szCs w:val="28"/>
        </w:rPr>
      </w:pPr>
    </w:p>
    <w:p w:rsidR="006D43CC" w:rsidRPr="00914FCE" w:rsidRDefault="00EA6ED1" w:rsidP="006D43CC">
      <w:pPr>
        <w:shd w:val="clear" w:color="auto" w:fill="FFFFFF"/>
        <w:tabs>
          <w:tab w:val="left" w:pos="858"/>
          <w:tab w:val="left" w:pos="8022"/>
        </w:tabs>
        <w:jc w:val="center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 xml:space="preserve">МЕТОДИЧЕСКИЕ РЕКОМЕНДАЦИИ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jc w:val="center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ПО РАЗВИТИЮ СЕТИ ОРГАНИЗАЦИЙ КУЛЬТУРЫ И ОБЕСПЕЧЕННОСТИ НАСЕЛЕНИЯ УСЛУГАМИ ОРГАНИЗАЦИЙ КУЛЬТУРЫ В АМУРСКОЙ ОБЛАСТИ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В соответствии с </w:t>
      </w:r>
      <w:hyperlink r:id="rId8" w:history="1">
        <w:r w:rsidRPr="00914FCE">
          <w:rPr>
            <w:rStyle w:val="aff"/>
            <w:color w:val="auto"/>
            <w:sz w:val="28"/>
            <w:szCs w:val="28"/>
            <w:u w:val="none"/>
          </w:rPr>
          <w:t>п. 2 ст. 44</w:t>
        </w:r>
      </w:hyperlink>
      <w:r w:rsidRPr="00914FCE">
        <w:rPr>
          <w:sz w:val="28"/>
          <w:szCs w:val="28"/>
        </w:rPr>
        <w:t xml:space="preserve"> Конституции Российской Федерации о праве граждан на участие в культурной жизни и пользование учреждениями культуры, на доступ к культурным ценностям, а также со </w:t>
      </w:r>
      <w:hyperlink r:id="rId9" w:history="1">
        <w:r w:rsidRPr="00914FCE">
          <w:rPr>
            <w:rStyle w:val="aff"/>
            <w:color w:val="auto"/>
            <w:sz w:val="28"/>
            <w:szCs w:val="28"/>
            <w:u w:val="none"/>
          </w:rPr>
          <w:t>ст. 1</w:t>
        </w:r>
      </w:hyperlink>
      <w:r w:rsidRPr="00914FCE">
        <w:rPr>
          <w:sz w:val="28"/>
          <w:szCs w:val="28"/>
        </w:rPr>
        <w:t xml:space="preserve">; </w:t>
      </w:r>
      <w:hyperlink r:id="rId10" w:history="1">
        <w:r w:rsidRPr="00914FCE">
          <w:rPr>
            <w:rStyle w:val="aff"/>
            <w:color w:val="auto"/>
            <w:sz w:val="28"/>
            <w:szCs w:val="28"/>
            <w:u w:val="none"/>
          </w:rPr>
          <w:t>ст. 12</w:t>
        </w:r>
      </w:hyperlink>
      <w:r w:rsidRPr="00914FCE">
        <w:rPr>
          <w:sz w:val="28"/>
          <w:szCs w:val="28"/>
        </w:rPr>
        <w:t xml:space="preserve">; </w:t>
      </w:r>
      <w:hyperlink r:id="rId11" w:history="1">
        <w:r w:rsidRPr="00914FCE">
          <w:rPr>
            <w:rStyle w:val="aff"/>
            <w:color w:val="auto"/>
            <w:sz w:val="28"/>
            <w:szCs w:val="28"/>
            <w:u w:val="none"/>
          </w:rPr>
          <w:t>ст. 30</w:t>
        </w:r>
      </w:hyperlink>
      <w:r w:rsidRPr="00914FCE">
        <w:rPr>
          <w:sz w:val="28"/>
          <w:szCs w:val="28"/>
        </w:rPr>
        <w:t xml:space="preserve">; </w:t>
      </w:r>
      <w:hyperlink r:id="rId12" w:history="1">
        <w:r w:rsidRPr="00914FCE">
          <w:rPr>
            <w:rStyle w:val="aff"/>
            <w:color w:val="auto"/>
            <w:sz w:val="28"/>
            <w:szCs w:val="28"/>
            <w:u w:val="none"/>
          </w:rPr>
          <w:t>ст. 37</w:t>
        </w:r>
      </w:hyperlink>
      <w:r w:rsidRPr="00914FCE">
        <w:rPr>
          <w:sz w:val="28"/>
          <w:szCs w:val="28"/>
        </w:rPr>
        <w:t xml:space="preserve">; </w:t>
      </w:r>
      <w:hyperlink r:id="rId13" w:history="1">
        <w:r w:rsidRPr="00914FCE">
          <w:rPr>
            <w:rStyle w:val="aff"/>
            <w:color w:val="auto"/>
            <w:sz w:val="28"/>
            <w:szCs w:val="28"/>
            <w:u w:val="none"/>
          </w:rPr>
          <w:t>ст. 39</w:t>
        </w:r>
      </w:hyperlink>
      <w:r w:rsidRPr="00914FCE">
        <w:rPr>
          <w:sz w:val="28"/>
          <w:szCs w:val="28"/>
        </w:rPr>
        <w:t xml:space="preserve">; </w:t>
      </w:r>
      <w:hyperlink r:id="rId14" w:history="1">
        <w:r w:rsidRPr="00914FCE">
          <w:rPr>
            <w:rStyle w:val="aff"/>
            <w:color w:val="auto"/>
            <w:sz w:val="28"/>
            <w:szCs w:val="28"/>
            <w:u w:val="none"/>
          </w:rPr>
          <w:t>ст. 40</w:t>
        </w:r>
      </w:hyperlink>
      <w:r w:rsidRPr="00914FCE">
        <w:rPr>
          <w:sz w:val="28"/>
          <w:szCs w:val="28"/>
        </w:rPr>
        <w:t xml:space="preserve"> Федерального закона от 09.10.1992 № 3612-1 «Основы законодательства Российской Федерации о культуре», определяющими права граждан на доступ к культурным ценностям, права и обязанности субъектов культурной деятельности, исходя из принципов, определенных в «Основах государственной культурной политики», утвержденных Указом Президента Российской Федерации от 24.12.2014 №</w:t>
      </w:r>
      <w:r w:rsidR="001E743D">
        <w:rPr>
          <w:sz w:val="28"/>
          <w:szCs w:val="28"/>
        </w:rPr>
        <w:t> </w:t>
      </w:r>
      <w:r w:rsidRPr="00914FCE">
        <w:rPr>
          <w:sz w:val="28"/>
          <w:szCs w:val="28"/>
        </w:rPr>
        <w:t>808, необходимо обеспечить: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территориальное и социальное равенство граждан в реализации их права на доступ к культурным ценностям, участие в культурной жизни и пользование организациями культуры;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развитие инфраструктуры культурной деятельности;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создание благоприятной культурной среды в малых городах и сельских поселениях, включая создание клубной сети киновидеопоказа;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создание развитой сети театральных, концертных, выставочных залов;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использование цифровых коммуникационных технологий для обеспечения доступа граждан к культурным ценностям независимо от места проживания.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Во исполнение нормативно-правовых актов Российской Федерации по обеспечению доступности услуг организаций культуры необходимо руководствоваться единой методикой по определению нормативной потребности муниципальных образований Амурской области в объектах культуры, что позволит преодолеть диспропорции обеспеченности и создать условия для развития сети организаций культуры.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1.Общие положения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1. Настоящие Методические рекомендации разработаны в соответствии с </w:t>
      </w:r>
      <w:hyperlink r:id="rId15" w:history="1">
        <w:r w:rsidRPr="00914FCE">
          <w:rPr>
            <w:rStyle w:val="aff"/>
            <w:color w:val="auto"/>
            <w:sz w:val="28"/>
            <w:szCs w:val="28"/>
            <w:u w:val="none"/>
          </w:rPr>
          <w:t>распоряжением</w:t>
        </w:r>
      </w:hyperlink>
      <w:r w:rsidRPr="00914FCE">
        <w:rPr>
          <w:sz w:val="28"/>
          <w:szCs w:val="28"/>
        </w:rPr>
        <w:t xml:space="preserve"> Министерства культуры Российской Федерации от 02.08.2017 №</w:t>
      </w:r>
      <w:r w:rsidR="001E743D">
        <w:rPr>
          <w:sz w:val="28"/>
          <w:szCs w:val="28"/>
        </w:rPr>
        <w:t> </w:t>
      </w:r>
      <w:r w:rsidRPr="00914FCE">
        <w:rPr>
          <w:sz w:val="28"/>
          <w:szCs w:val="28"/>
        </w:rPr>
        <w:t xml:space="preserve">Р-965 и в целях обеспечения доступности организаций культуры путем оптимального размещения сети организаций культуры с учетом норм </w:t>
      </w:r>
      <w:r w:rsidRPr="00914FCE">
        <w:rPr>
          <w:sz w:val="28"/>
          <w:szCs w:val="28"/>
        </w:rPr>
        <w:lastRenderedPageBreak/>
        <w:t>минимально необходимых видов организаций культуры и нормативов обеспеченности населения организациями культуры, где «норма» - это минимально допустимое количество сетевых единиц, а «норматив» - это составляющие нормы, указывающие на объем сети (в единицах) и минимальное значение количества населения, для которого установлены данные нормы, а также время, затраченное на доступ к организациям культуры.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Под «сетевой единицей» следует понимать организацию культуры независимо от формы собственности, оказывающую услуги в пределах одного здания (помещения), а также ее филиалы либо отделы, оказывающие услуги в отдельно стоящих зданиях, в том числе иных населенных пунктах, либо в помещениях учреждений культуры иных функциональных видов.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2. Условия оптимального размещения видов организаций культуры устанавливаются органами местного самоуправления в пределах собственных средств с учетом рекомендуемой нормативной потребности.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3. Расчет нормативной потребности муниципальных образований в объектах культуры должен предусматривать: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вид объекта исходя из его функционального значения, специализации, профиля;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нормативное значение (количество) сетевых единиц различных функциональных видов организаций культуры, обеспечивающих комплекс услуг в соответствии с полномочиями в сфере культуры органов местного самоуправления;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нормативное значение (численность) населения, для которого должны быть обеспечены услуги организаций культуры (которое должно быть обеспечено услугами организаций культуры);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показатель территориальной доступности (время в пути до объекта).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При расчете нормативной потребности в строительстве объектов культуры необходимо учитывать их мощность (количество мест на 1 000 чел.). Рекомендуются показатели мощности (количество мест в зале) в театрах, концертных залах и учреждениях культуры клубного типа из расчета количества мест на 1 000 жителей в соответствии с </w:t>
      </w:r>
      <w:hyperlink r:id="rId16" w:anchor="P823" w:history="1">
        <w:r w:rsidRPr="00384EBF">
          <w:rPr>
            <w:rStyle w:val="aff"/>
            <w:color w:val="auto"/>
            <w:sz w:val="28"/>
            <w:szCs w:val="28"/>
            <w:u w:val="none"/>
          </w:rPr>
          <w:t>Приложением</w:t>
        </w:r>
      </w:hyperlink>
      <w:r w:rsidRPr="00914FCE">
        <w:rPr>
          <w:sz w:val="28"/>
          <w:szCs w:val="28"/>
        </w:rPr>
        <w:t>, которое является неотъемлемой частью данных методических рекомендаций.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При расчете нормативного значения численности населения на сетевую единицу следует использовать метод математического округления к ближайшему целому числу: если первая из отделяемых запятой цифр больше или равна числу 5 вне зависимости от наличия за ней значащих цифр, то последняя из оставляемых цифр увеличивается на единицу. В случае если первая из убираемых цифр меньше чем 5, то увеличение не производится.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4. Условия оптимального размещения объектов культуры должны учитывать: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существующую обеспеченность населения объектами культуры;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функциональное многообразие организаций культуры;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lastRenderedPageBreak/>
        <w:t>специфику территории, в том числе: культурно-исторические особенности; численность, плотность и</w:t>
      </w:r>
      <w:bookmarkStart w:id="0" w:name="_GoBack"/>
      <w:bookmarkEnd w:id="0"/>
      <w:r w:rsidRPr="00914FCE">
        <w:rPr>
          <w:sz w:val="28"/>
          <w:szCs w:val="28"/>
        </w:rPr>
        <w:t xml:space="preserve"> демографический состав населения; природно-климатические условия; транспортную инфраструктуру и социально-экономические особенности развития региона;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прогноз изменения демографического состава населения и бюджетной обеспеченности муниципального образования;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критерии доступности услуг организаций культуры для населения.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Критерии доступности услуг организаций культуры: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возможность выбора организаций культуры;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развитие выездных, электронных, дистанционных и иных форм предоставления услуг;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возможность получения гражданами услуг организаций культуры исходя из уровня их доходов и с учетом установленных льгот;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сохранение бесплатности для населения основных услуг общедоступных библиотек и занятий любительским искусством;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полнота, актуальность и достоверность информации о порядке предоставления услуг организациями культуры;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наличие организаций культуры для детей;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наличие в организациях культуры условий предоставления услуг людям с ограниченными возможностями жизнедеятельности.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5. Оптимальное территориальное размещение сетевых единиц организаций культуры может быть достигнуто путем их укрупнения (присоединения) за счет организаций, загруженных менее чем на 50% (за исключением учреждений, расположенных в сельской местности), а также за счет создания организаций, предоставляющих комплексные услуги, в том числе на условиях государственно-частного партнерства.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6. Размещение объектов культуры, в соответствии с Градостроительным </w:t>
      </w:r>
      <w:hyperlink r:id="rId17" w:history="1">
        <w:r w:rsidRPr="00FE3854">
          <w:rPr>
            <w:rStyle w:val="aff"/>
            <w:color w:val="auto"/>
            <w:sz w:val="28"/>
            <w:szCs w:val="28"/>
            <w:u w:val="none"/>
          </w:rPr>
          <w:t>кодексом</w:t>
        </w:r>
      </w:hyperlink>
      <w:r w:rsidRPr="00FE3854">
        <w:rPr>
          <w:sz w:val="28"/>
          <w:szCs w:val="28"/>
        </w:rPr>
        <w:t xml:space="preserve"> </w:t>
      </w:r>
      <w:r w:rsidRPr="00914FCE">
        <w:rPr>
          <w:sz w:val="28"/>
          <w:szCs w:val="28"/>
        </w:rPr>
        <w:t>Российской Федерации, должно предусматриваться при разработке нормативов градостроительного проектирования, схем территориального планирования, генеральных планов городских и сельских поселений, проектов планировки общественных центров, жилых районов города.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и местного значения, а также расчетных показателей максимально допустимого уровня территориальной доступности социальных объектов для населения субъекта Российской Федерации и муниципального образования (</w:t>
      </w:r>
      <w:hyperlink r:id="rId18" w:history="1">
        <w:r w:rsidRPr="00C92CAC">
          <w:rPr>
            <w:rStyle w:val="aff"/>
            <w:color w:val="auto"/>
            <w:sz w:val="28"/>
            <w:szCs w:val="28"/>
            <w:u w:val="none"/>
          </w:rPr>
          <w:t>ст. 29.1</w:t>
        </w:r>
      </w:hyperlink>
      <w:r w:rsidRPr="00C92CAC">
        <w:rPr>
          <w:sz w:val="28"/>
          <w:szCs w:val="28"/>
        </w:rPr>
        <w:t xml:space="preserve">, </w:t>
      </w:r>
      <w:hyperlink r:id="rId19" w:history="1">
        <w:r w:rsidRPr="00C92CAC">
          <w:rPr>
            <w:rStyle w:val="aff"/>
            <w:color w:val="auto"/>
            <w:sz w:val="28"/>
            <w:szCs w:val="28"/>
            <w:u w:val="none"/>
          </w:rPr>
          <w:t>29.2</w:t>
        </w:r>
      </w:hyperlink>
      <w:r w:rsidRPr="00914FCE">
        <w:rPr>
          <w:sz w:val="28"/>
          <w:szCs w:val="28"/>
        </w:rPr>
        <w:t xml:space="preserve"> Градостроительного кодекса Российской Федерации).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целях обеспечения доступности нормативы градостроительного проектирования должны предусматривать размещение отдельно стоящих, встроенных или пристроенных объектов культуры в составе жилых зон и отдельно стоящих объектов культуры в составе общественно-деловых и рекреационных зон.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lastRenderedPageBreak/>
        <w:t>7. Физическая доступность услуг муниципальных организаций культуры обеспечивается за счет шаговой и транспортной доступности, а также путем информационно-коммуникационных технологий доступа к электронным ресурсам (виртуальным экскурсиям, спектаклям, концертам) и путем организации гастролей.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Порядок обеспечения условий доступности организаций культуры для инвалидов устанавливается в соответствии с законодательством Российской Федерации о социальной защите инвалидов. </w:t>
      </w:r>
    </w:p>
    <w:p w:rsidR="00C70B9B" w:rsidRDefault="00C70B9B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bCs/>
          <w:sz w:val="28"/>
          <w:szCs w:val="28"/>
        </w:rPr>
      </w:pPr>
    </w:p>
    <w:p w:rsidR="00EA6ED1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bCs/>
          <w:sz w:val="28"/>
          <w:szCs w:val="28"/>
        </w:rPr>
      </w:pPr>
      <w:r w:rsidRPr="00914FCE">
        <w:rPr>
          <w:b/>
          <w:bCs/>
          <w:sz w:val="28"/>
          <w:szCs w:val="28"/>
        </w:rPr>
        <w:t>2. Нормы и нормативы размещения библиотек</w:t>
      </w:r>
    </w:p>
    <w:p w:rsidR="00C70B9B" w:rsidRPr="00914FCE" w:rsidRDefault="00C70B9B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bCs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ab/>
        <w:t>2.1. В соответствии со ст.  14-15 Федерального закона от 29.12.1994 № 78-ФЗ «О библиотечном деле» в основе государственной политики в области библиотечного дела лежит принцип создания условий для всеобщей доступности информации и культурных ценностей, собираемых и предоставляемых в пользование библиотеками.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Государство ответственно перед гражданами за обеспечение условий для общедоступности культурной деятельности, культурных ценностей и благ, а также сохранение бесплатности для населения основных услуг общедоступных библиотек.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Органы местного самоуправления обеспечивают:</w:t>
      </w:r>
    </w:p>
    <w:p w:rsidR="00EA6ED1" w:rsidRPr="009F55A8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F55A8">
        <w:rPr>
          <w:sz w:val="28"/>
          <w:szCs w:val="28"/>
        </w:rPr>
        <w:t>финансирование комплектования, учета и обеспечения сохранности фондов муниципальных библиотек;</w:t>
      </w:r>
    </w:p>
    <w:p w:rsidR="00EA6ED1" w:rsidRPr="009F55A8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F55A8">
        <w:rPr>
          <w:sz w:val="28"/>
          <w:szCs w:val="28"/>
        </w:rPr>
        <w:t>реализацию прав граждан на библиотечное обслуживание;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F55A8">
        <w:rPr>
          <w:sz w:val="28"/>
          <w:szCs w:val="28"/>
        </w:rPr>
        <w:t>условия доступности для инвалидов муниципальных библиотек (ст.12 Федерального закона от 09.10.1992 №</w:t>
      </w:r>
      <w:r w:rsidR="001E743D">
        <w:rPr>
          <w:sz w:val="28"/>
          <w:szCs w:val="28"/>
        </w:rPr>
        <w:t> </w:t>
      </w:r>
      <w:r w:rsidRPr="009F55A8">
        <w:rPr>
          <w:sz w:val="28"/>
          <w:szCs w:val="28"/>
        </w:rPr>
        <w:t>3612-1 «Основы законодательства Российской Федерации о культуре»).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Органы местного самоуправления не вправе принимать решения и осуществлять действия, которые влекут ухудшение материально-технического обеспечения действующих библиотек, находящихся на бюджетном финансировании, их перевод в помещения, не соответствующие требованиям охраны труда, хранения библиотечных фондов и библиотечного обслуживания (ст.15 Федерального закона от 29.12.1994 № 78-ФЗ «О библиотечном деле»).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Сетевыми единицами стационарной муниципальной библиотеки являются: центральные городские библиотеки, межпоселенческие библиотеки, городские библиотеки, самостоятельные общедоступные библиотеки, библиотеки-филиалы централизованных библиотечных систем, поселенческие библиотеки, вошедшие в состав культурно-досуговых центров.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Нестационарные формы обслуживания не рассматриваются в качестве сетевой единицы.</w:t>
      </w:r>
    </w:p>
    <w:p w:rsidR="00C70B9B" w:rsidRDefault="00C70B9B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нормы и нормативы размещения библиотек:</w:t>
      </w:r>
    </w:p>
    <w:p w:rsidR="00EA6ED1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lastRenderedPageBreak/>
        <w:t xml:space="preserve">Таблица № 1 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268"/>
        <w:gridCol w:w="2410"/>
        <w:gridCol w:w="1275"/>
        <w:gridCol w:w="1560"/>
      </w:tblGrid>
      <w:tr w:rsidR="00EA6ED1" w:rsidRPr="00C70B9B" w:rsidTr="00C70B9B">
        <w:trPr>
          <w:jc w:val="center"/>
        </w:trPr>
        <w:tc>
          <w:tcPr>
            <w:tcW w:w="2156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4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Административно-территориальные уровни</w:t>
            </w:r>
            <w:r w:rsidR="00DE64C0" w:rsidRPr="00C70B9B">
              <w:rPr>
                <w:b/>
                <w:sz w:val="24"/>
                <w:szCs w:val="24"/>
              </w:rPr>
              <w:t xml:space="preserve"> </w:t>
            </w:r>
            <w:r w:rsidRPr="00C70B9B">
              <w:rPr>
                <w:b/>
                <w:sz w:val="24"/>
                <w:szCs w:val="24"/>
              </w:rPr>
              <w:t>обеспечения услуг</w:t>
            </w:r>
          </w:p>
        </w:tc>
        <w:tc>
          <w:tcPr>
            <w:tcW w:w="2268" w:type="dxa"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Наименование</w:t>
            </w:r>
          </w:p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организации, осуществляющей</w:t>
            </w:r>
          </w:p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услуги/Тип объекта</w:t>
            </w:r>
          </w:p>
        </w:tc>
        <w:tc>
          <w:tcPr>
            <w:tcW w:w="2410" w:type="dxa"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Обеспеченность</w:t>
            </w:r>
          </w:p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тыс. чел. на</w:t>
            </w:r>
          </w:p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1275" w:type="dxa"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Единица</w:t>
            </w:r>
          </w:p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4"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измерения</w:t>
            </w:r>
          </w:p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4"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(сетевая</w:t>
            </w:r>
          </w:p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4" w:hanging="7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единица)</w:t>
            </w:r>
          </w:p>
        </w:tc>
        <w:tc>
          <w:tcPr>
            <w:tcW w:w="156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Доступность</w:t>
            </w: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Городской округ</w:t>
            </w: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Общедоступная библиотека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 20 тыс. чел.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транспортная доступность 30-40 минут</w:t>
            </w: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 10 тыс. детей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sz w:val="24"/>
                <w:szCs w:val="24"/>
              </w:rPr>
            </w:pP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sz w:val="24"/>
                <w:szCs w:val="24"/>
              </w:rPr>
            </w:pP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Муниципальный район</w:t>
            </w: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Межпоселенческая библиотека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транспортная доступность 30 минут -1 час.</w:t>
            </w: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DE64C0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 xml:space="preserve">Детская библиотека или </w:t>
            </w:r>
            <w:r w:rsidR="00EA6ED1" w:rsidRPr="00C70B9B">
              <w:rPr>
                <w:sz w:val="24"/>
                <w:szCs w:val="24"/>
              </w:rPr>
              <w:t>детское отделение при межпоселенческой библиотеке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5" w:type="dxa"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both"/>
              <w:rPr>
                <w:sz w:val="24"/>
                <w:szCs w:val="24"/>
              </w:rPr>
            </w:pP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Административный центр района</w:t>
            </w:r>
          </w:p>
        </w:tc>
        <w:tc>
          <w:tcPr>
            <w:tcW w:w="1275" w:type="dxa"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both"/>
              <w:rPr>
                <w:sz w:val="24"/>
                <w:szCs w:val="24"/>
              </w:rPr>
            </w:pP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 w:val="restart"/>
          </w:tcPr>
          <w:p w:rsidR="00EA6ED1" w:rsidRPr="00C70B9B" w:rsidRDefault="00DE64C0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 xml:space="preserve">Городское </w:t>
            </w:r>
            <w:r w:rsidR="00EA6ED1" w:rsidRPr="00C70B9B">
              <w:rPr>
                <w:sz w:val="24"/>
                <w:szCs w:val="24"/>
              </w:rPr>
              <w:t>поселение</w:t>
            </w: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5 тыс. чел.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Шаговая доступность 15-30 минут/ транспортная доступность 15-30 минут</w:t>
            </w: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в каждой сетевой единице, подключенной к сети Интернет</w:t>
            </w:r>
          </w:p>
        </w:tc>
        <w:tc>
          <w:tcPr>
            <w:tcW w:w="1275" w:type="dxa"/>
          </w:tcPr>
          <w:p w:rsidR="00EA6ED1" w:rsidRPr="00C70B9B" w:rsidRDefault="00EA6ED1" w:rsidP="00DE64C0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both"/>
              <w:rPr>
                <w:sz w:val="24"/>
                <w:szCs w:val="24"/>
              </w:rPr>
            </w:pP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Сельское поселение</w:t>
            </w: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Общедоступная библиотека с детским отделением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-73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Шаговая доступность 15-30 минут/ транспортная доступность 15-30 минут</w:t>
            </w: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CD3445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филиал общедоступных библиотек или пункт внестационарного обслуживания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до 300 чел.</w:t>
            </w:r>
          </w:p>
        </w:tc>
        <w:tc>
          <w:tcPr>
            <w:tcW w:w="1275" w:type="dxa"/>
          </w:tcPr>
          <w:p w:rsidR="00EA6ED1" w:rsidRPr="00C70B9B" w:rsidRDefault="00C70B9B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EA6ED1" w:rsidRPr="00C70B9B" w:rsidRDefault="00EA6ED1" w:rsidP="00CD3445">
            <w:pPr>
              <w:shd w:val="clear" w:color="auto" w:fill="FFFFFF"/>
              <w:tabs>
                <w:tab w:val="left" w:pos="858"/>
                <w:tab w:val="left" w:pos="8022"/>
              </w:tabs>
              <w:ind w:hanging="79"/>
              <w:jc w:val="both"/>
              <w:rPr>
                <w:sz w:val="24"/>
                <w:szCs w:val="24"/>
              </w:rPr>
            </w:pPr>
          </w:p>
        </w:tc>
      </w:tr>
      <w:tr w:rsidR="00EA6ED1" w:rsidRPr="00C70B9B" w:rsidTr="00C70B9B">
        <w:trPr>
          <w:jc w:val="center"/>
        </w:trPr>
        <w:tc>
          <w:tcPr>
            <w:tcW w:w="2156" w:type="dxa"/>
            <w:vMerge/>
          </w:tcPr>
          <w:p w:rsidR="00EA6ED1" w:rsidRPr="00C70B9B" w:rsidRDefault="00EA6ED1" w:rsidP="00EA6ED1">
            <w:pPr>
              <w:shd w:val="clear" w:color="auto" w:fill="FFFFFF"/>
              <w:tabs>
                <w:tab w:val="left" w:pos="858"/>
                <w:tab w:val="left" w:pos="8022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Точка доступа к полнотекстовым информационным ресурсам</w:t>
            </w:r>
          </w:p>
        </w:tc>
        <w:tc>
          <w:tcPr>
            <w:tcW w:w="2410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ind w:right="34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275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EA6ED1" w:rsidRPr="00C70B9B" w:rsidRDefault="00EA6ED1" w:rsidP="00EA6ED1">
            <w:pPr>
              <w:shd w:val="clear" w:color="auto" w:fill="FFFFFF"/>
              <w:tabs>
                <w:tab w:val="left" w:pos="858"/>
                <w:tab w:val="left" w:pos="8022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  <w:lang w:bidi="en-US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2.2. Нормы размещения библиотек в городских округах и городских поселениях.</w:t>
      </w:r>
      <w:r w:rsidRPr="00914FCE">
        <w:rPr>
          <w:sz w:val="28"/>
          <w:szCs w:val="28"/>
        </w:rPr>
        <w:br/>
      </w:r>
      <w:r w:rsidRPr="00914FCE">
        <w:rPr>
          <w:sz w:val="28"/>
          <w:szCs w:val="28"/>
        </w:rPr>
        <w:tab/>
        <w:t xml:space="preserve">В городском округе создается общедоступная библиотека, которая </w:t>
      </w:r>
      <w:r w:rsidRPr="00914FCE">
        <w:rPr>
          <w:sz w:val="28"/>
          <w:szCs w:val="28"/>
        </w:rPr>
        <w:lastRenderedPageBreak/>
        <w:t>наделяется статусом центральной библиотеки и осуществляет функции по обеспечению комплектования, обработки и хранения библиотечных фондов, создания и ведения электронного каталога и специализированных баз данных,</w:t>
      </w:r>
      <w:r w:rsidR="00DE64C0">
        <w:rPr>
          <w:sz w:val="28"/>
          <w:szCs w:val="28"/>
        </w:rPr>
        <w:t xml:space="preserve"> </w:t>
      </w:r>
      <w:r w:rsidRPr="00914FCE">
        <w:rPr>
          <w:sz w:val="28"/>
          <w:szCs w:val="28"/>
        </w:rPr>
        <w:t>методического обеспечения библиотечной деятельности, популяризации литературы и чтения.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жилых районах городского округа создаются филиалы центральной библиотеки или ее структурные подразделения, осуществляющие функции выдачи документов библиотечного фонда и популяризацию книги и чтения.</w:t>
      </w:r>
      <w:r w:rsidRPr="00914FCE">
        <w:rPr>
          <w:sz w:val="28"/>
          <w:szCs w:val="28"/>
        </w:rPr>
        <w:br/>
      </w:r>
      <w:r w:rsidRPr="00914FCE">
        <w:rPr>
          <w:sz w:val="28"/>
          <w:szCs w:val="28"/>
        </w:rPr>
        <w:tab/>
        <w:t>Для городского округа с населением менее 20 тыс. чел. к расчету принимается 1 библиотека на 10 тыс. чел.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Для сельских населенных пунктов, входящих в состав городского округа, к расчету принимается 1 библиотека на 1 тыс. чел.</w:t>
      </w:r>
      <w:r w:rsidRPr="00914FCE">
        <w:rPr>
          <w:sz w:val="28"/>
          <w:szCs w:val="28"/>
        </w:rPr>
        <w:br/>
      </w:r>
      <w:r w:rsidRPr="00914FCE">
        <w:rPr>
          <w:sz w:val="28"/>
          <w:szCs w:val="28"/>
        </w:rPr>
        <w:tab/>
        <w:t>Для городского поселения с численностью населения менее 5 тыс. чел. к расчету принимается сетевая единица на 3 тыс. чел.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городских округах создается самостоятельная детская библиотека для обслуживания детей дошкольного возраста и учащихся общеобразовательных школ с универсальным фондом документов при условии, если численность детей до 14 лет составляет не менее 10 тыс. чел.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При условии меньшей численности детского населения детская библиотека может действовать в составе центральной библиотеки как филиал или структурное подразделение центральной библиотеки.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городском поселении, которое является административным центром муниципального района, нецелесообразно создавать самостоятельную детскую библиотеку с целью исключения дублирования функций детской библиотеки, созданной на уровне муниципального района.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Если в состав муниципального района входят городские поселения, не являющиеся административным центром, но имеющие количество детей не менее 10 тыс. чел., то в таких городских поселениях целесообразно создать самостоятельную детскую библиотеку.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Если у населения городского округа есть объективная потребность в создании молодежной библиотеки (ходатайство общественности, инициатива молодежных и образовательных организаций и др.), то собственник (учредитель) имеет право создать молодежную библиотеку или перепрофилировать под данную функцию иную общедоступную библиотеку.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2.3. Нормы размещения межпоселенческих (районных) библиотек.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Межпоселенческая библиотека - центральная библиотека муниципального района, которой органами местного самоуправления присвоен статус межпоселенческой.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Межпоселенческая библиотека выполняет функции координационного и методического центра для библиотек, созданных на территории муниципального района, по организации библиотечного обслуживания населения, в том числе проживающего в населенных пунктах, не имеющих стационарных библиотек; по формированию универсального фонда документов; по ведению сводного электронного каталога, сбора и обработки </w:t>
      </w:r>
      <w:r w:rsidRPr="00914FCE">
        <w:rPr>
          <w:sz w:val="28"/>
          <w:szCs w:val="28"/>
        </w:rPr>
        <w:lastRenderedPageBreak/>
        <w:t>библиотечной статистики. Ввиду вышеизложенных функций, связанных не только с обслуживанием населения, но и с исполнением специализированных библиотечных операций в интересах всех библиотек муниципального района, а также в соответствии с установленными полномочиями муниципального района, межпоселенческая библиотека создается независимо от количества населения, проживающего в муниципальном районе.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На базе межпоселенческой библиотеки может быть сформирована централизованная библиотечная система, объединяющая библиотеки сельских поселений.  Главным в определении нормативов обеспеченности библиотечным обслуживанием населения муниципального образования является создание условий для сохранения сложившихся объединений библиотек – централизованных библиотечных систем.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Детская библиотека на уровне муниципального района создается в целях повышения качества обслуживания детей,</w:t>
      </w:r>
      <w:r w:rsidR="00C92CAC">
        <w:rPr>
          <w:sz w:val="28"/>
          <w:szCs w:val="28"/>
        </w:rPr>
        <w:t xml:space="preserve"> </w:t>
      </w:r>
      <w:r w:rsidRPr="00914FCE">
        <w:rPr>
          <w:sz w:val="28"/>
          <w:szCs w:val="28"/>
        </w:rPr>
        <w:t xml:space="preserve">формирования специализированного фонда и методического обеспечения библиотек, обслуживающих детей.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административном центре муниципального района может быть создана детская библиотека или обслуживание детей может осуществляться через организацию детского отдела (гл.6 «Модельного стандарта деятельности муниципальной общедоступной библиотеки Амурской области, Благовещенск, 2015 г.).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ab/>
        <w:t>2.4.Нормы размещения библиотек в сельских поселениях.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sz w:val="28"/>
          <w:szCs w:val="28"/>
        </w:rPr>
        <w:tab/>
        <w:t>Организационная структура библиотечного обслуживания сельских населенных пунктов должна предусматривать в административном центре сельского поселения общедоступную библиотеку с детским отделением, либо, при условии передачи полномочий по библиотечному обслуживанию на уровень муниципального района, филиал межпоселенческой библиотеки с детским отделением.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ab/>
        <w:t>Общедоступная библиотека сельского поселения, независимо от количества населения, располагается в административном центре сельского поселения.</w:t>
      </w:r>
      <w:r w:rsidRPr="00914FCE">
        <w:rPr>
          <w:sz w:val="28"/>
          <w:szCs w:val="28"/>
        </w:rPr>
        <w:br/>
      </w:r>
      <w:r w:rsidRPr="00914FCE">
        <w:rPr>
          <w:sz w:val="28"/>
          <w:szCs w:val="28"/>
        </w:rPr>
        <w:tab/>
        <w:t>Для обслуживания жителей сельских поселений библиотека создается исходя из расчета 1 сетевая единица на 0,5 тыс. жителей, независимо от количества населенных пунктов, входящих в состав сельского поселения.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ab/>
        <w:t>В населенных пунктах с количеством жителей менее 300 человек допускается наличие стационарной библиотеки или пункта внестационарного обслуживания, в зависимости от удаленности стационарной библиотеки и транспортной доступности.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Центральная библиотека сельского поселения (либо межпоселенческая библиотека) организует работу филиала на базе специализированного помещения или пункт книговыдачи на базе приспособленного помещения, в котором могут проводиться мероприятия по популяризации книги и чтения.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Филиалы общедоступной библиотеки, либо пункты книговыдачи (по потребности) могут размещаться в сельских населенных пунктах, входящих в </w:t>
      </w:r>
      <w:r w:rsidRPr="00914FCE">
        <w:rPr>
          <w:sz w:val="28"/>
          <w:szCs w:val="28"/>
        </w:rPr>
        <w:lastRenderedPageBreak/>
        <w:t>состав городского округа (или городского поселения). Филиалы, или структурные подразделения центральной библиотеки, могут размещаться как в отдельно стоящих зданиях, так и во встроенных помещениях, либо в помещениях иных учреждений культуры, находящихся на территории жилого района и принимаются к расчету в качестве сетевых единиц.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организации библиотечного обслуживания в порядке, предусмотренном решением представительного органа муниципального образования (Федеральный закон от 06.10.2003 № 131-ФЗ «Об общих принципах организации местного самоуправления в Российской Федерации»).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Решение о реорганизации или ликвидации муниципальной библиотеки, расположенной в сельском поселении, может быть принято только с учетом результатов опроса жителей данного сельского поселения (ст.23 Федерального закона от 29.12.1994 №78-ФЗ «О библиотечном деле»).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2.5. Условия доступности для инвалидов библиотек и библиотечного обслуживания обеспечиваются в соответствии с законодательством Российской Федерации о социальной защите инвалидов. Инвалиды по зрению имеют право на библиотечное обслуживание и получение экземпляров документов в специальных доступных форматах на различных носителях информации в общедоступных библиотеках. В целях обеспечения доступности библиотечных услуг для инвалидов по зрению следует предусматривать зоны обслуживания в учреждениях и на предприятиях, где учатся и работают инвалиды по зрению, лечебных и реабилитационных учреждениях (п.2 ст.8 Федерального закона от 29.12.1994 №</w:t>
      </w:r>
      <w:r w:rsidR="001E743D">
        <w:rPr>
          <w:sz w:val="28"/>
          <w:szCs w:val="28"/>
        </w:rPr>
        <w:t> </w:t>
      </w:r>
      <w:r w:rsidRPr="00914FCE">
        <w:rPr>
          <w:sz w:val="28"/>
          <w:szCs w:val="28"/>
        </w:rPr>
        <w:t>78-ФЗ «О библиотечном деле»).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2.6. Пользователям библиотек, независимо от места проживания, должен быть обеспечен доступ к культурным ценностям на основе цифровых коммуникационных технологий, для чего рекомендуется на базе центральных библиотек городского округа, городского поселения, муниципального района и сельского поселения организовать точку доступа к полнотекстовым информационным ресурсам (Указ Президента Российской Федерации от 24.12.2014 №</w:t>
      </w:r>
      <w:r w:rsidR="001E743D">
        <w:rPr>
          <w:sz w:val="28"/>
          <w:szCs w:val="28"/>
        </w:rPr>
        <w:t> </w:t>
      </w:r>
      <w:r w:rsidRPr="00914FCE">
        <w:rPr>
          <w:sz w:val="28"/>
          <w:szCs w:val="28"/>
        </w:rPr>
        <w:t>808 «Об утверждении Основ государственно культурной политики»).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Для организации точки доступа к полнотекстовым информационным ресурсам в библиотеке оборудуется место с выходом в сеть Интернет и предоставлением доступа к оцифрованным полнотекстовым информационным ресурсам, на право пользования которыми библиотека заключает договоры (соглашения) с собственниками этих ресурсов.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 полнотекстовым информационным ресурсам, доступ к которым библиотека получает бесплатно, относятся: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фонды Национальной электронной библиотеки (далее – НЭБ), которая объединяет фонды публичных библиотек России федерального, </w:t>
      </w:r>
      <w:r w:rsidRPr="00914FCE">
        <w:rPr>
          <w:sz w:val="28"/>
          <w:szCs w:val="28"/>
        </w:rPr>
        <w:lastRenderedPageBreak/>
        <w:t>регионального, муниципального уровня, библиотек научных и образовательных учреждений, а также правообладателей. НЭБ включает: каталог всех хранящихся в фондах российских библиотек изданий; централизованный, ежедневно пополняемый архив оцифрованных изданий, как открытого доступа, так и ограниченных авторским правом;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фонды Президентской библиотеки.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При определении нормативной потребности в библиотечном обслуживании населения необходимо рассматривать транспортную и шаговую доступность: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зависимости от сложности рельефа и наличия выделенной для пешеходов дорожно-тропиночной сети следует применять коэффициент от 1,75 до 5 к нормативной потребности в библиотеках в сельских поселениях (без учета административного центра) и сельских населенных пунктах, входящих в состав городских округов (без учета городского населения).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3. Нормы и нормативы размещения музеев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3.1. Нормы и нормативы размещения музеев в зависимости от наличия предметов и коллекций, которые отнесены (или могут быть отнесены) к государственной или негосударственной части Музейного фонда Российской Федерации в целях хранения, сохранности и популяризации культурного наследия.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норма и нормативы оптимального размещения музеев:</w:t>
      </w:r>
    </w:p>
    <w:p w:rsidR="002E25A2" w:rsidRDefault="002E25A2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Таблица №2</w:t>
      </w: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176"/>
        <w:gridCol w:w="2023"/>
        <w:gridCol w:w="1946"/>
        <w:gridCol w:w="1275"/>
        <w:gridCol w:w="1757"/>
      </w:tblGrid>
      <w:tr w:rsidR="00914FCE" w:rsidRPr="00DE64C0" w:rsidTr="002B4D38">
        <w:tc>
          <w:tcPr>
            <w:tcW w:w="513" w:type="dxa"/>
          </w:tcPr>
          <w:p w:rsidR="00EA6ED1" w:rsidRPr="00C70B9B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ind w:firstLine="29"/>
              <w:jc w:val="both"/>
              <w:rPr>
                <w:b/>
                <w:sz w:val="24"/>
                <w:szCs w:val="24"/>
                <w:lang w:bidi="en-US"/>
              </w:rPr>
            </w:pPr>
            <w:r w:rsidRPr="00C70B9B">
              <w:rPr>
                <w:b/>
                <w:sz w:val="24"/>
                <w:szCs w:val="24"/>
                <w:lang w:bidi="en-US"/>
              </w:rPr>
              <w:t>№</w:t>
            </w:r>
          </w:p>
        </w:tc>
        <w:tc>
          <w:tcPr>
            <w:tcW w:w="2176" w:type="dxa"/>
          </w:tcPr>
          <w:p w:rsidR="00EA6ED1" w:rsidRPr="00C70B9B" w:rsidRDefault="00D750CD" w:rsidP="00D750CD">
            <w:pPr>
              <w:shd w:val="clear" w:color="auto" w:fill="FFFFFF"/>
              <w:tabs>
                <w:tab w:val="left" w:pos="-59"/>
                <w:tab w:val="left" w:pos="1611"/>
              </w:tabs>
              <w:ind w:hanging="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Административно-</w:t>
            </w:r>
            <w:r w:rsidR="00EA6ED1" w:rsidRPr="00C70B9B">
              <w:rPr>
                <w:b/>
                <w:sz w:val="24"/>
                <w:szCs w:val="24"/>
              </w:rPr>
              <w:t>территориальные уровни обеспечения услуг</w:t>
            </w:r>
          </w:p>
        </w:tc>
        <w:tc>
          <w:tcPr>
            <w:tcW w:w="2023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-108"/>
                <w:tab w:val="left" w:pos="1611"/>
              </w:tabs>
              <w:ind w:left="-108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1946" w:type="dxa"/>
          </w:tcPr>
          <w:p w:rsidR="00EA6ED1" w:rsidRPr="00C70B9B" w:rsidRDefault="00EA6ED1" w:rsidP="002E25A2">
            <w:pPr>
              <w:shd w:val="clear" w:color="auto" w:fill="FFFFFF"/>
              <w:tabs>
                <w:tab w:val="left" w:pos="0"/>
                <w:tab w:val="left" w:pos="1611"/>
              </w:tabs>
              <w:ind w:right="-108" w:hanging="5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275" w:type="dxa"/>
          </w:tcPr>
          <w:p w:rsidR="00EA6ED1" w:rsidRPr="00C70B9B" w:rsidRDefault="00EA6ED1" w:rsidP="008E54F5">
            <w:pPr>
              <w:shd w:val="clear" w:color="auto" w:fill="FFFFFF"/>
              <w:tabs>
                <w:tab w:val="left" w:pos="0"/>
                <w:tab w:val="left" w:pos="1611"/>
              </w:tabs>
              <w:ind w:firstLine="29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Минимальная количеств</w:t>
            </w:r>
            <w:r w:rsidR="002B4D38" w:rsidRPr="00C70B9B">
              <w:rPr>
                <w:b/>
                <w:sz w:val="24"/>
                <w:szCs w:val="24"/>
              </w:rPr>
              <w:t>ен</w:t>
            </w:r>
            <w:r w:rsidRPr="00C70B9B">
              <w:rPr>
                <w:b/>
                <w:sz w:val="24"/>
                <w:szCs w:val="24"/>
              </w:rPr>
              <w:t>ная величина (количество сетевых единиц)</w:t>
            </w:r>
          </w:p>
        </w:tc>
        <w:tc>
          <w:tcPr>
            <w:tcW w:w="1757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0"/>
                <w:tab w:val="left" w:pos="1611"/>
              </w:tabs>
              <w:jc w:val="center"/>
              <w:rPr>
                <w:b/>
                <w:sz w:val="24"/>
                <w:szCs w:val="24"/>
                <w:lang w:bidi="en-US"/>
              </w:rPr>
            </w:pPr>
            <w:r w:rsidRPr="00C70B9B">
              <w:rPr>
                <w:b/>
                <w:sz w:val="24"/>
                <w:szCs w:val="24"/>
                <w:lang w:bidi="en-US"/>
              </w:rPr>
              <w:t>Доступность</w:t>
            </w:r>
          </w:p>
        </w:tc>
      </w:tr>
      <w:tr w:rsidR="00CF7177" w:rsidRPr="00DE64C0" w:rsidTr="002B4D38">
        <w:tc>
          <w:tcPr>
            <w:tcW w:w="513" w:type="dxa"/>
            <w:vMerge w:val="restart"/>
          </w:tcPr>
          <w:p w:rsidR="00CF7177" w:rsidRPr="00C70B9B" w:rsidRDefault="00CF7177" w:rsidP="00CF7177">
            <w:pPr>
              <w:shd w:val="clear" w:color="auto" w:fill="FFFFFF"/>
              <w:tabs>
                <w:tab w:val="left" w:pos="738"/>
                <w:tab w:val="left" w:pos="8022"/>
              </w:tabs>
              <w:ind w:right="97" w:firstLine="29"/>
              <w:jc w:val="both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2176" w:type="dxa"/>
            <w:vMerge w:val="restart"/>
          </w:tcPr>
          <w:p w:rsidR="00CF7177" w:rsidRPr="00C70B9B" w:rsidRDefault="00CF7177" w:rsidP="00D750CD">
            <w:pPr>
              <w:shd w:val="clear" w:color="auto" w:fill="FFFFFF"/>
              <w:tabs>
                <w:tab w:val="left" w:pos="-59"/>
                <w:tab w:val="left" w:pos="1611"/>
              </w:tabs>
              <w:ind w:left="-59" w:right="-108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Административный центр субъекта РФ</w:t>
            </w:r>
          </w:p>
        </w:tc>
        <w:tc>
          <w:tcPr>
            <w:tcW w:w="2023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108"/>
                <w:tab w:val="left" w:pos="1611"/>
              </w:tabs>
              <w:ind w:left="-108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Краеведческий музей</w:t>
            </w:r>
          </w:p>
        </w:tc>
        <w:tc>
          <w:tcPr>
            <w:tcW w:w="1946" w:type="dxa"/>
            <w:vMerge w:val="restart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hanging="5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Административный центр с населением от 150 до 500</w:t>
            </w:r>
          </w:p>
        </w:tc>
        <w:tc>
          <w:tcPr>
            <w:tcW w:w="1275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firstLine="29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1</w:t>
            </w:r>
          </w:p>
        </w:tc>
        <w:tc>
          <w:tcPr>
            <w:tcW w:w="1757" w:type="dxa"/>
            <w:vMerge w:val="restart"/>
          </w:tcPr>
          <w:p w:rsidR="00CF7177" w:rsidRPr="00C70B9B" w:rsidRDefault="00CF7177" w:rsidP="00D750CD">
            <w:pPr>
              <w:shd w:val="clear" w:color="auto" w:fill="FFFFFF"/>
              <w:tabs>
                <w:tab w:val="left" w:pos="176"/>
              </w:tabs>
              <w:ind w:left="-108" w:right="-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Транспортная доступность для жителей </w:t>
            </w:r>
            <w:r w:rsidR="00D750CD">
              <w:rPr>
                <w:sz w:val="24"/>
                <w:szCs w:val="24"/>
              </w:rPr>
              <w:t xml:space="preserve">административного </w:t>
            </w:r>
            <w:r>
              <w:rPr>
                <w:sz w:val="24"/>
                <w:szCs w:val="24"/>
              </w:rPr>
              <w:t>центра в течение 1 часа, для муниципальных образований – 1 день</w:t>
            </w:r>
          </w:p>
        </w:tc>
      </w:tr>
      <w:tr w:rsidR="00CF7177" w:rsidRPr="00DE64C0" w:rsidTr="002B4D38">
        <w:tc>
          <w:tcPr>
            <w:tcW w:w="513" w:type="dxa"/>
            <w:vMerge/>
          </w:tcPr>
          <w:p w:rsidR="00CF7177" w:rsidRPr="00C70B9B" w:rsidRDefault="00CF7177" w:rsidP="00CF7177">
            <w:pPr>
              <w:shd w:val="clear" w:color="auto" w:fill="FFFFFF"/>
              <w:tabs>
                <w:tab w:val="left" w:pos="858"/>
                <w:tab w:val="left" w:pos="8022"/>
              </w:tabs>
              <w:ind w:firstLine="29"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176" w:type="dxa"/>
            <w:vMerge/>
          </w:tcPr>
          <w:p w:rsidR="00CF7177" w:rsidRPr="00C70B9B" w:rsidRDefault="00CF7177" w:rsidP="00CF7177">
            <w:pPr>
              <w:shd w:val="clear" w:color="auto" w:fill="FFFFFF"/>
              <w:tabs>
                <w:tab w:val="left" w:pos="-59"/>
                <w:tab w:val="left" w:pos="1611"/>
              </w:tabs>
              <w:ind w:hanging="59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2023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108"/>
                <w:tab w:val="left" w:pos="1611"/>
              </w:tabs>
              <w:ind w:left="-108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Тематический музей</w:t>
            </w:r>
          </w:p>
        </w:tc>
        <w:tc>
          <w:tcPr>
            <w:tcW w:w="1946" w:type="dxa"/>
            <w:vMerge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hanging="5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1275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firstLine="29"/>
              <w:jc w:val="center"/>
              <w:rPr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bidi="en-US"/>
              </w:rPr>
              <w:t>2</w:t>
            </w:r>
          </w:p>
        </w:tc>
        <w:tc>
          <w:tcPr>
            <w:tcW w:w="1757" w:type="dxa"/>
            <w:vMerge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jc w:val="center"/>
              <w:rPr>
                <w:sz w:val="24"/>
                <w:szCs w:val="24"/>
                <w:lang w:bidi="en-US"/>
              </w:rPr>
            </w:pPr>
          </w:p>
        </w:tc>
      </w:tr>
      <w:tr w:rsidR="00CF7177" w:rsidRPr="00DE64C0" w:rsidTr="002B4D38">
        <w:tc>
          <w:tcPr>
            <w:tcW w:w="513" w:type="dxa"/>
            <w:vMerge w:val="restart"/>
          </w:tcPr>
          <w:p w:rsidR="00CF7177" w:rsidRPr="00C70B9B" w:rsidRDefault="00CF7177" w:rsidP="00CF7177">
            <w:pPr>
              <w:shd w:val="clear" w:color="auto" w:fill="FFFFFF"/>
              <w:tabs>
                <w:tab w:val="left" w:pos="858"/>
                <w:tab w:val="left" w:pos="8022"/>
              </w:tabs>
              <w:ind w:firstLine="29"/>
              <w:jc w:val="both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2</w:t>
            </w:r>
          </w:p>
        </w:tc>
        <w:tc>
          <w:tcPr>
            <w:tcW w:w="2176" w:type="dxa"/>
            <w:vMerge w:val="restart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59"/>
                <w:tab w:val="left" w:pos="1611"/>
              </w:tabs>
              <w:ind w:hanging="59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Городской округ</w:t>
            </w:r>
          </w:p>
        </w:tc>
        <w:tc>
          <w:tcPr>
            <w:tcW w:w="2023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108"/>
                <w:tab w:val="left" w:pos="1611"/>
              </w:tabs>
              <w:ind w:left="-108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Краеведческий музей</w:t>
            </w:r>
          </w:p>
        </w:tc>
        <w:tc>
          <w:tcPr>
            <w:tcW w:w="1946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hanging="5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Независимо от количества населения</w:t>
            </w:r>
          </w:p>
        </w:tc>
        <w:tc>
          <w:tcPr>
            <w:tcW w:w="1275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firstLine="29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1</w:t>
            </w:r>
          </w:p>
        </w:tc>
        <w:tc>
          <w:tcPr>
            <w:tcW w:w="1757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176"/>
                <w:tab w:val="left" w:pos="1611"/>
              </w:tabs>
              <w:ind w:left="-108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  <w:lang w:bidi="en-US"/>
              </w:rPr>
              <w:t>Транспортная доступность 30-60 мин</w:t>
            </w:r>
            <w:r w:rsidRPr="00C70B9B">
              <w:rPr>
                <w:sz w:val="24"/>
                <w:szCs w:val="24"/>
              </w:rPr>
              <w:t>ут</w:t>
            </w:r>
          </w:p>
        </w:tc>
      </w:tr>
      <w:tr w:rsidR="00CF7177" w:rsidRPr="00DE64C0" w:rsidTr="002B4D38">
        <w:tc>
          <w:tcPr>
            <w:tcW w:w="513" w:type="dxa"/>
            <w:vMerge/>
          </w:tcPr>
          <w:p w:rsidR="00CF7177" w:rsidRPr="00C70B9B" w:rsidRDefault="00CF7177" w:rsidP="00CF7177">
            <w:pPr>
              <w:shd w:val="clear" w:color="auto" w:fill="FFFFFF"/>
              <w:tabs>
                <w:tab w:val="left" w:pos="858"/>
                <w:tab w:val="left" w:pos="8022"/>
              </w:tabs>
              <w:ind w:firstLine="29"/>
              <w:jc w:val="both"/>
              <w:rPr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:rsidR="00CF7177" w:rsidRPr="00C70B9B" w:rsidRDefault="00CF7177" w:rsidP="00CF7177">
            <w:pPr>
              <w:shd w:val="clear" w:color="auto" w:fill="FFFFFF"/>
              <w:tabs>
                <w:tab w:val="left" w:pos="-59"/>
                <w:tab w:val="left" w:pos="1611"/>
              </w:tabs>
              <w:ind w:hanging="59"/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2023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108"/>
                <w:tab w:val="left" w:pos="1611"/>
              </w:tabs>
              <w:ind w:left="-108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Тематический музей</w:t>
            </w:r>
          </w:p>
        </w:tc>
        <w:tc>
          <w:tcPr>
            <w:tcW w:w="1946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hanging="5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Независимо от количества населения</w:t>
            </w:r>
          </w:p>
        </w:tc>
        <w:tc>
          <w:tcPr>
            <w:tcW w:w="1275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firstLine="29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1</w:t>
            </w:r>
          </w:p>
        </w:tc>
        <w:tc>
          <w:tcPr>
            <w:tcW w:w="1757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1611"/>
              </w:tabs>
              <w:ind w:left="-108"/>
              <w:jc w:val="center"/>
              <w:rPr>
                <w:sz w:val="24"/>
                <w:szCs w:val="24"/>
              </w:rPr>
            </w:pPr>
          </w:p>
        </w:tc>
      </w:tr>
      <w:tr w:rsidR="00CF7177" w:rsidRPr="00DE64C0" w:rsidTr="002B4D38">
        <w:tc>
          <w:tcPr>
            <w:tcW w:w="513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858"/>
                <w:tab w:val="left" w:pos="8022"/>
              </w:tabs>
              <w:ind w:firstLine="29"/>
              <w:jc w:val="both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176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59"/>
                <w:tab w:val="left" w:pos="1611"/>
              </w:tabs>
              <w:ind w:hanging="59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Муниципальный район</w:t>
            </w:r>
          </w:p>
        </w:tc>
        <w:tc>
          <w:tcPr>
            <w:tcW w:w="2023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-108"/>
                <w:tab w:val="left" w:pos="1611"/>
              </w:tabs>
              <w:ind w:left="-108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Краеведческий музей</w:t>
            </w:r>
          </w:p>
        </w:tc>
        <w:tc>
          <w:tcPr>
            <w:tcW w:w="1946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hanging="5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Независимо от количества населения</w:t>
            </w:r>
          </w:p>
        </w:tc>
        <w:tc>
          <w:tcPr>
            <w:tcW w:w="1275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0"/>
                <w:tab w:val="left" w:pos="1611"/>
              </w:tabs>
              <w:ind w:firstLine="29"/>
              <w:jc w:val="center"/>
              <w:rPr>
                <w:sz w:val="24"/>
                <w:szCs w:val="24"/>
                <w:lang w:bidi="en-US"/>
              </w:rPr>
            </w:pPr>
            <w:r w:rsidRPr="00C70B9B">
              <w:rPr>
                <w:sz w:val="24"/>
                <w:szCs w:val="24"/>
                <w:lang w:bidi="en-US"/>
              </w:rPr>
              <w:t>1</w:t>
            </w:r>
          </w:p>
        </w:tc>
        <w:tc>
          <w:tcPr>
            <w:tcW w:w="1757" w:type="dxa"/>
          </w:tcPr>
          <w:p w:rsidR="00CF7177" w:rsidRPr="00C70B9B" w:rsidRDefault="00CF7177" w:rsidP="00CF7177">
            <w:pPr>
              <w:shd w:val="clear" w:color="auto" w:fill="FFFFFF"/>
              <w:tabs>
                <w:tab w:val="left" w:pos="1611"/>
              </w:tabs>
              <w:ind w:left="-108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Транспортная доступность 30 минут - 2 часа</w:t>
            </w: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3.2. За сетевую единицу принимаются музеи, являющиеся юридическими лицами, а также музеи-филиалы без образования юридического лица и территориально</w:t>
      </w:r>
      <w:r w:rsidR="00CF7177">
        <w:rPr>
          <w:sz w:val="28"/>
          <w:szCs w:val="28"/>
        </w:rPr>
        <w:t xml:space="preserve"> </w:t>
      </w:r>
      <w:r w:rsidRPr="00914FCE">
        <w:rPr>
          <w:sz w:val="28"/>
          <w:szCs w:val="28"/>
        </w:rPr>
        <w:t>обособленные экспозиционные отделы музеев независимо от формы собственности (ведомственные, частные) при условии, если их фонды вошли в государственную или негосударственную часть музейного Фонда Российской Федерации.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Экспозиционные отделы, расположенные на общих участках с головным музеем (например, усадьбы), рассматриваются как необособленные и не считаются отдельной сетевой единицей.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Объектом деятельности краеведческого музея является документация</w:t>
      </w:r>
      <w:r w:rsidRPr="00914FCE">
        <w:rPr>
          <w:sz w:val="28"/>
          <w:szCs w:val="28"/>
        </w:rPr>
        <w:br/>
        <w:t>и презентация исторического, природного и культурного развития определенного населенного пункта или географического региона. Основными фондами такого музея являются связанные с историей региона экспонаты, в числе которых могут быть, например: археологические находки; произведения искусства или ремесла; документы и изобразительные материалы, фиксирующие исторические события местности; предметы быта; мемориальные предметы, связанные со знаменитыми земляками; материалы, отражающие экономическое и техническое развитие региона.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Тематические музеи могут быть любой профильной группы: политехнический, мемориальный, военно-исторический, историко-бытовой, археологический, этнографический, литературный, музыкальный, музей науки, техники, кино, архитектуры, боевой (трудовой) славы.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3.3. Органы местного самоуправления имеют право на создание музеев.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муниципальном образовании музеи создаются при наличии музейных предметов и коллекций, зарегистрированных в порядке, установленном законодательством Российской Федерации независимо от количества населения.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зависимости от состава фондов на уровне муниципального района, городского поселения вместо краеведческого музея может быть создан тематический музей с разделом краеведения.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целях обслуживания местного население в муниципальных образованиях могут быть созданы филиалы, или структурные подразделения государственных музеев, оказывающие услуги в отдельно стоящих зданиях либо в помещениях учреждений культуры иных функциональных видов, либо в помещениях иных населенных пунктов, которые должны учитываться в качестве сетевой единицы муниципального образования.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3.4. Органы местного самоуправления сельских поселений имеют право дополнительно использовать собственные материальные ресурсы и финансовые средства для создания музеев в порядке, предусмотренном </w:t>
      </w:r>
      <w:r w:rsidRPr="00914FCE">
        <w:rPr>
          <w:sz w:val="28"/>
          <w:szCs w:val="28"/>
        </w:rPr>
        <w:lastRenderedPageBreak/>
        <w:t>решением представительного органа муниципального образования. При условии наличия музейного фонда и достаточности местного бюджета по решению органа местного самоуправления может быть создан краеведческий музей, а также тематические музеи, посвященные памятным историческим событиям, мемориальные музеи, технические музеи, музеи народной культуры. Художественные коллекции могут входить в состав краеведческого музея или на их основе может быть создан художественный музей (галерея). Самостоятельные художественные музеи муниципальных образований должны приниматься к учету как сетевая единица тематического музея.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4. Нормы размещения театров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4.1. Нормы и нормативы размещения театров устанавливаются с учетом потребностей населения в жанрах театрального искусства, в том числе возрастных особенностей зрительской аудитории.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соответствии с распоряжением Правительства Российской Федерации от 10.06.2011 № 1019-р «О концепции долгосрочного развития театрального дела в Российской Федерации на период до 2020 года», театр - это организация, осуществляющая театральную деятельность в целях удовлетворения и формирования духовных потребностей зрителей в сценическом искусстве, а также развития театрального искусства, предусматривающего расширение доступности театрального искусства для различных групп населения.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нормы и нормативы оптимального размещения театров: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Таблица № 3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29"/>
        <w:gridCol w:w="2057"/>
        <w:gridCol w:w="1318"/>
        <w:gridCol w:w="1739"/>
      </w:tblGrid>
      <w:tr w:rsidR="00914FCE" w:rsidRPr="00914FCE" w:rsidTr="002E25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Наименование организации, осуществляющей услуги / Тип объекта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Доступность</w:t>
            </w:r>
          </w:p>
        </w:tc>
      </w:tr>
      <w:tr w:rsidR="00914FCE" w:rsidRPr="00914FCE" w:rsidTr="002E25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Городской округ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Театр по видам искусств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Население от 50 до 100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Театр может быть создан в населенном пункте с населением менее 50 тыс. чел. при условии, что до ближайшего театра транспортная доступность составляет более 3 часов</w:t>
            </w:r>
          </w:p>
        </w:tc>
      </w:tr>
      <w:tr w:rsidR="00914FCE" w:rsidRPr="00914FCE" w:rsidTr="002E25A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Театр по видам искусств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Население от 50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A6ED1">
            <w:pPr>
              <w:shd w:val="clear" w:color="auto" w:fill="FFFFFF"/>
              <w:tabs>
                <w:tab w:val="left" w:pos="858"/>
                <w:tab w:val="left" w:pos="8022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lastRenderedPageBreak/>
        <w:t>4.2. За сетевую единицу принимаются театры, являющиеся юридическими лицами, либо филиалы театров.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Учитывается в качестве одной сетевой единицы театр, в котором действует нескольких театральных трупп (работающих на разных языках или имеющих самостоятельный репертуар), объединенных общей администрацией и представляющих единый баланс.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Если на одной театральной площадке работают театры различной жанровой направленности, являющиеся самостоятельными юридическими лицами, то каждый из них учитывается в качестве самостоятельной сетевой единицы.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4.3. Минимальный перечень подвидов театров составляют театры драмы и театры по видам искусств.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Прочие театры по видам искусств (пантомимы, миниатюр, танца, песни, и т.п.) или по целевой группе (молодежный театр, детский театр) создаются в целях обеспечения доступности населения к различным жанрам театрального искусства.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целях выравнивания диспропорций по обеспечению доступности населения к театральному искусству и на основании полномочия муниципальных органов власти по созданию условий для организации досуга и обеспечения жителей городского округа услугами организаций культуры в муниципальных образованиях создаются театры.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городских округах устанавливается норматив количества театров различной направленности, объединяющий несколько жанровых видов, при обязательном наличии в репертуаре спектаклей для детей и молодежи.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городских поселениях органы местного самоуправления имеют право дополнительно использовать собственные материальные ресурсы и финансовые средства для создания театров в порядке, предусмотренном решением представительного органа муниципального образования.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5. Нормы и нормативы размещения концертных организаций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5.1. В соответствии с распоряжением Правительства Российской Федерации от 24.11.2015 № 2395-р «О концепции развития концертной деятельности в области академической музыки в Российской Федерации» формирование и развитие общественных потребностей в академическом музыкальном искусстве, расширение аудитории концертов академической музыки для различных категорий и групп населения должно осуществляться путем создания концертных организаций и концертных коллективов академической направленности.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Нормы и нормативы размещения концертных организаций устанавливаются в соответствии с потребностями населения в области академической музыки.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нормы и нормативы оптимального размещения концертных организаций: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Таблица №4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2"/>
        <w:gridCol w:w="2143"/>
        <w:gridCol w:w="1951"/>
        <w:gridCol w:w="1339"/>
        <w:gridCol w:w="1609"/>
      </w:tblGrid>
      <w:tr w:rsidR="00914FCE" w:rsidRPr="00914FCE" w:rsidTr="00440E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Доступность</w:t>
            </w:r>
          </w:p>
        </w:tc>
      </w:tr>
      <w:tr w:rsidR="00914FCE" w:rsidRPr="00914FCE" w:rsidTr="00440E0D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Городской округ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Концертный зал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Транспортная доступность 30 - 40 минут</w:t>
            </w:r>
          </w:p>
        </w:tc>
      </w:tr>
      <w:tr w:rsidR="00914FCE" w:rsidRPr="00914FCE" w:rsidTr="00440E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Концертный творческий коллектив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</w:p>
        </w:tc>
      </w:tr>
      <w:tr w:rsidR="00914FCE" w:rsidRPr="00914FCE" w:rsidTr="00440E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Муниципальный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Концертный зал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Транспортная доступность 30 - 40 минут</w:t>
            </w:r>
          </w:p>
        </w:tc>
      </w:tr>
      <w:tr w:rsidR="00914FCE" w:rsidRPr="00914FCE" w:rsidTr="00440E0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Концертный творческий коллектив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5.2. Концертный зал - специальная площадка, отвечающая акустическим стандартам исполнения академической музыки, или вид концертной организации, выполняющей функции формирования и удовлетворения общественных потребностей в академическом музыкальном искусстве;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 концертным коллективам относятся симфонические оркестры, оркестры народных, духовых инструментов, хоровые капеллы, народные хоры, хореографические и фольклорные ансамбли и т.п.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5.3. К расчету сетевых единиц принимаются организации всех форм собственности.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качестве сетевой единицы концертного зала могут учитываться площадки, отвечающие акустическим стандартам, которые входят в состав иных организаций культуры (культурно-досуговых учреждений, специализированных учебных заведений).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5.4. В целях удовлетворения потребности населения в академической музыке концертные организации осуществляют гастроли. Понятие «гастроли» включает в себя показ концертных программ вне места постоянной концертной деятельности исполнителя, в том числе в населенных пунктах собственного региона.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6. Нормы и нормативы размещения учреждений культуры</w:t>
      </w:r>
      <w:r w:rsidR="00440E0D" w:rsidRPr="00914FCE">
        <w:rPr>
          <w:b/>
          <w:sz w:val="28"/>
          <w:szCs w:val="28"/>
        </w:rPr>
        <w:t xml:space="preserve"> </w:t>
      </w:r>
      <w:r w:rsidRPr="00914FCE">
        <w:rPr>
          <w:b/>
          <w:sz w:val="28"/>
          <w:szCs w:val="28"/>
        </w:rPr>
        <w:t>клубного типа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6.1.В соответствии с полномочиями органов местного самоуправления по созданию условий для организации досуга и обеспечения жителей услугами </w:t>
      </w:r>
      <w:r w:rsidRPr="00914FCE">
        <w:rPr>
          <w:sz w:val="28"/>
          <w:szCs w:val="28"/>
        </w:rPr>
        <w:lastRenderedPageBreak/>
        <w:t>организаций культуры, и по созданию условий для развития народного художественного творчества создаются учреждения культуры клубного типа, которые действуют на основании Примерного положения о государственном и муниципальном учреждении культуры клубного типа, утвержденного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При подсчете нормативной обеспеченности необходимо использовать единообразие в терминологии: по Общероссийскому классификатору видов экономической деятельности (далее – ОКВЭД) – учреждения клубного типа. Под учреждением клубного типа понимается организация, основной деятельностью которой является создание условий для занятий любительским художественным творчеством, предоставление населению услуг социально-культурного, просветительского и досугового характера.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За сетевые единицы принимаются учреждения культуры клубного типа всех форм собственности, а также их филиалы, либо обособленные структурные подразделения, оказывающие услуги в иных населенных пунктах.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нормы и нормативы оптимального размещения учреждений культуры клубного типа:</w:t>
      </w:r>
    </w:p>
    <w:p w:rsidR="00391CED" w:rsidRPr="00914FCE" w:rsidRDefault="00391CED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i/>
          <w:sz w:val="28"/>
          <w:szCs w:val="28"/>
        </w:rPr>
      </w:pPr>
      <w:r w:rsidRPr="00914FCE">
        <w:rPr>
          <w:sz w:val="28"/>
          <w:szCs w:val="28"/>
        </w:rPr>
        <w:t>Таблица № 5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127"/>
        <w:gridCol w:w="1984"/>
        <w:gridCol w:w="1418"/>
        <w:gridCol w:w="1559"/>
      </w:tblGrid>
      <w:tr w:rsidR="00914FCE" w:rsidRPr="002B4D38" w:rsidTr="00C70B9B">
        <w:tc>
          <w:tcPr>
            <w:tcW w:w="2263" w:type="dxa"/>
          </w:tcPr>
          <w:p w:rsidR="00EA6ED1" w:rsidRPr="00C70B9B" w:rsidRDefault="002B4D38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Административ</w:t>
            </w:r>
            <w:r w:rsidR="00EA6ED1" w:rsidRPr="00C70B9B">
              <w:rPr>
                <w:b/>
                <w:sz w:val="24"/>
                <w:szCs w:val="24"/>
              </w:rPr>
              <w:t>но-территориальные уровни обеспечения услуг</w:t>
            </w:r>
          </w:p>
        </w:tc>
        <w:tc>
          <w:tcPr>
            <w:tcW w:w="2127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Наименование организации, осуществляющей услуги /Тип объекта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1559" w:type="dxa"/>
          </w:tcPr>
          <w:p w:rsidR="00EA6ED1" w:rsidRPr="00C70B9B" w:rsidRDefault="00EA6ED1" w:rsidP="00C70B9B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b/>
                <w:sz w:val="24"/>
                <w:szCs w:val="24"/>
              </w:rPr>
            </w:pPr>
            <w:r w:rsidRPr="00C70B9B">
              <w:rPr>
                <w:b/>
                <w:sz w:val="24"/>
                <w:szCs w:val="24"/>
              </w:rPr>
              <w:t>Доступность</w:t>
            </w:r>
          </w:p>
        </w:tc>
      </w:tr>
      <w:tr w:rsidR="00914FCE" w:rsidRPr="002B4D38" w:rsidTr="00C70B9B">
        <w:tc>
          <w:tcPr>
            <w:tcW w:w="2263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Городской округ</w:t>
            </w:r>
          </w:p>
        </w:tc>
        <w:tc>
          <w:tcPr>
            <w:tcW w:w="2127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Дом культуры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Население от 100 до 500 тыс. чел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 на 100 тыс. чел.</w:t>
            </w:r>
          </w:p>
        </w:tc>
        <w:tc>
          <w:tcPr>
            <w:tcW w:w="1559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Транспортная доступность 30-40 мин.</w:t>
            </w:r>
          </w:p>
        </w:tc>
      </w:tr>
      <w:tr w:rsidR="00914FCE" w:rsidRPr="002B4D38" w:rsidTr="00C70B9B">
        <w:tc>
          <w:tcPr>
            <w:tcW w:w="2263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Население до 100 тыс. чел.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 на 20 тыс.чел.</w:t>
            </w:r>
          </w:p>
        </w:tc>
        <w:tc>
          <w:tcPr>
            <w:tcW w:w="1559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914FCE" w:rsidRPr="002B4D38" w:rsidTr="00C70B9B">
        <w:tc>
          <w:tcPr>
            <w:tcW w:w="2263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Муниципальный район</w:t>
            </w:r>
          </w:p>
        </w:tc>
        <w:tc>
          <w:tcPr>
            <w:tcW w:w="2127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Центр культурного развития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914FCE" w:rsidRPr="002B4D38" w:rsidTr="00C70B9B">
        <w:tc>
          <w:tcPr>
            <w:tcW w:w="2263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Передвижной многофункциональный центр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Транспортная единица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914FCE" w:rsidRPr="002B4D38" w:rsidTr="00C70B9B">
        <w:tc>
          <w:tcPr>
            <w:tcW w:w="2263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2127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Дом культуры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Население более 9 тыс. чел.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Транспортная доступность 30-40 мин.</w:t>
            </w:r>
          </w:p>
        </w:tc>
      </w:tr>
      <w:tr w:rsidR="00914FCE" w:rsidRPr="002B4D38" w:rsidTr="00C70B9B">
        <w:tc>
          <w:tcPr>
            <w:tcW w:w="2263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Население менее 9 тыс. чел.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</w:p>
        </w:tc>
      </w:tr>
      <w:tr w:rsidR="00914FCE" w:rsidRPr="002B4D38" w:rsidTr="00C70B9B">
        <w:tc>
          <w:tcPr>
            <w:tcW w:w="2263" w:type="dxa"/>
            <w:vMerge w:val="restart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lastRenderedPageBreak/>
              <w:t>Сельское поселение</w:t>
            </w:r>
          </w:p>
        </w:tc>
        <w:tc>
          <w:tcPr>
            <w:tcW w:w="2127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Дом культуры (филиал, либо обособленное структурное подразделение районного Дома культуры, районного культурно-методического центра)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Административный центр сельского поселения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Шаговая доступность15-30 минут/ Транспортная доступность 15-30 минут</w:t>
            </w:r>
          </w:p>
        </w:tc>
      </w:tr>
      <w:tr w:rsidR="00914FCE" w:rsidRPr="002B4D38" w:rsidTr="00C70B9B">
        <w:tc>
          <w:tcPr>
            <w:tcW w:w="2263" w:type="dxa"/>
            <w:vMerge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Сельский клуб (филиал либо обособленное структурное подразделение Дома культуры)</w:t>
            </w:r>
          </w:p>
        </w:tc>
        <w:tc>
          <w:tcPr>
            <w:tcW w:w="1984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На 1 тыс. чел.</w:t>
            </w:r>
          </w:p>
        </w:tc>
        <w:tc>
          <w:tcPr>
            <w:tcW w:w="1418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jc w:val="center"/>
              <w:rPr>
                <w:sz w:val="24"/>
                <w:szCs w:val="24"/>
              </w:rPr>
            </w:pPr>
            <w:r w:rsidRPr="00C70B9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A6ED1" w:rsidRPr="00C70B9B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spacing w:before="240"/>
              <w:ind w:right="-108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6.2.Нормы и нормативы размещения учреждений культуры клубного типа в городских округах и городских поселениях предусматривают наличие Домов культуры или других видов учреждений клубного типа в зависимости от плотности населения и разнообразия культурно-досуговой инфраструктуры населенного пункта.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Для городских округов, в состав которых входят сельские населенные пункты, имеющие транспортную доступность до административного центра 30 минут и более, применяется норматив 1 Дом культуры на 5 тыс. жителей по совокупности населения в сельских населенных пунктах.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Для городских округов, в состав которых входят сельские населенные пункты, минимально необходимое количество учреждений клубного типа определяется по следующей формуле: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КС = (Нс : Ннс) + ((Н - Нс) : Ннг), где: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КС – сеть учреждений клубного типа;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 – численность населения;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Ннс – норматив численности жителей на 1 Дом культуры для сельского населения, входящего в состав городского округа;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Нс – численность сельского населения;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Ннг – норматив численности жителей на 1 Дом культуры для городского округа.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При определении нормативной потребности муниципального образования в учреждениях клубного типа, применяя шаговую доступность в зависимости от сложности рельефа и наличия выделенной для пешеходов дорожно-тропиночной сети, следует применять коэффициент 2 к нормативной потребности в учреждениях клубного типа в сельских поселениях (без учета </w:t>
      </w:r>
      <w:r w:rsidRPr="00914FCE">
        <w:rPr>
          <w:sz w:val="28"/>
          <w:szCs w:val="28"/>
        </w:rPr>
        <w:lastRenderedPageBreak/>
        <w:t>административного центра) и сельских населенных пунктов, входящих в состав городских округов (без учета городского населения).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i/>
          <w:sz w:val="28"/>
          <w:szCs w:val="28"/>
        </w:rPr>
      </w:pPr>
      <w:r w:rsidRPr="00914FCE">
        <w:rPr>
          <w:sz w:val="28"/>
          <w:szCs w:val="28"/>
        </w:rPr>
        <w:t>Нормы и нормативы размещения учреждений клубного типа в сельских поселениях предусматривают наличие 1 Дома культуры (филиала, либо обособленного структурного подразделения районного Дома культуры, районного культурно-методического центра)  в административном центре сельского поселения и наличие 1 сельского клуба (филиала, либо обособленного структурного подразделения районного Дома культуры, районного культурно-методического центра) на 1 тыс. чел.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Минимально необходимое количество учреждений клубного типа в сельском поселении определяется по следующей формуле: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i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КС = (Н - Надм.ц.п.) : Нн.ф. + Нн.адм.ц, где: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КС – сеть учреждений клубного типа;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 – численность населения;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Надм.ц.п. – численность населения административного центра сельского поселения;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Нн.ф. – норматив численности жителей на 1 сельский клуб (филиал, либо обособленное структурное подразделение районного Дома культуры, районного культурно-методического Центра культуры);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Нн.адм.ц – норматив числа домов культуры для административного центра сельского поселения.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При расчете потребности в количестве учреждений клубного типа в условиях удаленности сельских населенных пунктов от административного центра, отсутствия регулярного транспортного сообщения в течение 1 дня, при низкой плотности населения, рекомендуется использовать поправочный коэффициент 2.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В целях обеспечения межпоселенческих функций по обеспечению досуга населения и создания условий для развития народного художественного творчества, на уровне муниципального района создается районный Дом культуры (районный культурно-методический центр), обеспечивающий методическое руководство и творческую координацию развития самодеятельного народного творчества на территории муниципального района.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i/>
          <w:sz w:val="28"/>
          <w:szCs w:val="28"/>
        </w:rPr>
      </w:pPr>
      <w:r w:rsidRPr="00914FCE">
        <w:rPr>
          <w:sz w:val="28"/>
          <w:szCs w:val="28"/>
        </w:rPr>
        <w:t>Районный Дом культуры (районный культурно-методический центр) может иметь филиалы, либо обособленные структурные подразделения в сельских поселениях, входящих в состав муниципального района.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Культурное обслуживание населения в поселениях, также являющихся административными центрами муниципальных районов, может осуществляться: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путем создания Домов культуры по решению органов местного самоуправления поселений с использованием собственных материальных </w:t>
      </w:r>
      <w:r w:rsidRPr="00914FCE">
        <w:rPr>
          <w:sz w:val="28"/>
          <w:szCs w:val="28"/>
        </w:rPr>
        <w:lastRenderedPageBreak/>
        <w:t>ресурсов и финансовых средств в порядке, предусмотренном решением представительного органа муниципального образования;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районными Домами культуры (районными культурно-методическими центрами) при условии заключения соглашений между органами местного самоуправления муниципального района и поселения о передаче полномочий в сфере организации досуга на уровень района. Соглашения между администрациями муниципального района и сельских поселений о передаче полномочий по организации досуга и массового отдыха должны исполняться за счет межбюджетных трансфертов, предоставляемых из бюджетов этих поселений в бюджет муниципального района в соответствии с Бюджетным кодексом Российской Федерации. 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Указанные соглашения должны заключаться 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межбюджетных трансфертов, необходимых для осуществления передаваемых полномочий, а также предусматривать меры ответственности за неисполнение соглашений.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Центры культурного развития создаются на основании нормативно-правовых актов Правительства Российской Федерации и, согласно Плану мероприятий «дорожной карты» «Изменения в отраслях социальной сферы, направленные на повышение эффективности сферы культуры», утвержденном распоряжением Правительства Российской Федерации от 28.12.2012 № 2606-р, являются одним из показателей проведения структурных реформ в сфере культуры (раздел </w:t>
      </w:r>
      <w:r w:rsidRPr="00914FCE">
        <w:rPr>
          <w:sz w:val="28"/>
          <w:szCs w:val="28"/>
          <w:lang w:bidi="en-US"/>
        </w:rPr>
        <w:t>II</w:t>
      </w:r>
      <w:r w:rsidRPr="00914FCE">
        <w:rPr>
          <w:sz w:val="28"/>
          <w:szCs w:val="28"/>
        </w:rPr>
        <w:t xml:space="preserve"> «дорожной карты») в целях: выравнивания диспропорций по качеству предоставления и разнообразия услуг в сфере культуры для населения в малых городах и сельской местности; обеспечения максимальной вовлеченности населения в культурно-творческую деятельность; создания новых возможностей для творческой самореализации и культурного развития населения; создания условий для межнационального культурного обмена; повышения качества жизни населения. ЦКР может быть создан путем модернизации (перепрофилирования) имеющегося учреждения, переоснащенного новым оборудованием, либо путем создания объекта с учетом новых технологий строительства, технического и мультимедийного оснащения и дизайна рекреационного пространства.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Создание Центров культурного развития в городских округах, городских поселениях и сельских поселениях осуществляется при наличии потребности по решению органов местного самоуправления за счет собственных средств.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ab/>
        <w:t xml:space="preserve">Передвижной многофункциональный культурный центр создается для предоставления внестационарных культурно-досуговых, библиотечных, информационных, выставочных услуг, а также для проведения массовых мероприятий патриотической, образовательной и досуговой направленности. Комплекс представляет собой передвижную многофункциональную, </w:t>
      </w:r>
      <w:r w:rsidRPr="00914FCE">
        <w:rPr>
          <w:sz w:val="28"/>
          <w:szCs w:val="28"/>
        </w:rPr>
        <w:lastRenderedPageBreak/>
        <w:t>высокотехнологичную площадку для обслуживания населения и проведения массовых мероприятий на открытой местности.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Устанавливается норма – 1 транспортная единица для обслуживания сельских населенных пунктов, входящих в состав городских округов, либо жилых районов города и 1 транспортная единица на муниципальный район для обслуживания населенных пунктов, не имеющих стационарных учреждений культуры.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С учетом плотности населения, а также в отдаленных и труднодоступных местностях количество специализированных транспортных средств может быть увеличено, в том числе могут быть предусмотрены транспортные средства со специфической транспортной направленностью (библиомобили, киномобили, автоклубы).</w:t>
      </w:r>
    </w:p>
    <w:p w:rsidR="009F55A8" w:rsidRPr="00914FCE" w:rsidRDefault="009F55A8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2E25A2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7.Нормы и нормативы размещения муниципальных парков</w:t>
      </w:r>
      <w:r w:rsidR="002E25A2">
        <w:rPr>
          <w:b/>
          <w:sz w:val="28"/>
          <w:szCs w:val="28"/>
        </w:rPr>
        <w:t xml:space="preserve"> </w:t>
      </w:r>
      <w:r w:rsidRPr="00914FCE">
        <w:rPr>
          <w:b/>
          <w:sz w:val="28"/>
          <w:szCs w:val="28"/>
        </w:rPr>
        <w:t>культуры и отдыха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7.1. Органы местного самоуправления, в целях реализации полномочий по созданию условий для массового отдыха жителей поселения и организации обустройства мест массового отдыха населения создают парки культуры и отдыха.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7.2. Парк культуры - это объект ландшафтной архитектуры, структура которого предусматривает рекреационную зону, зону аттракционов и зону сервиса.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За сетевую единицу принимаются парки культуры и отдыха всех форм собственности.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нормы и нормативы оптимального размещения парков культуры и отдыха: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Таблица №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2"/>
        <w:gridCol w:w="2143"/>
        <w:gridCol w:w="1951"/>
        <w:gridCol w:w="1339"/>
        <w:gridCol w:w="1609"/>
      </w:tblGrid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2B4D38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2B4D38">
              <w:rPr>
                <w:b/>
                <w:sz w:val="24"/>
                <w:szCs w:val="24"/>
              </w:rPr>
              <w:t>Доступность</w:t>
            </w:r>
          </w:p>
        </w:tc>
      </w:tr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Городской округ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Парк культуры и отдыха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на 30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Транспортная доступность 30 - 40 минут</w:t>
            </w:r>
          </w:p>
        </w:tc>
      </w:tr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Парк культуры и отдыха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население более 30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2B4D38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Транспортная доступность 15 - 30 минут</w:t>
            </w: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 xml:space="preserve">7.3. Мощность парка по площади определяется в зависимости от объемов, предусмотренных для данного объекта в составе зоны рекреационного назначения в документах территориального планирования. Площадь планировочной структуры парка определяется в соответствии с </w:t>
      </w:r>
      <w:r w:rsidRPr="00914FCE">
        <w:rPr>
          <w:sz w:val="28"/>
          <w:szCs w:val="28"/>
        </w:rPr>
        <w:lastRenderedPageBreak/>
        <w:t>концепцией развития парковой территории, утвержденной органом местного самоуправления.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7.4. При наличии потребности в парках культуры и отдыха в населенных пунктах с количеством жителей менее 30 тыс. чел. количество парков и условия их создания утверждаются в нормативах градостроительного проектирования субъекта Российской Федерации за счет собственных средств.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8. Нормы и нормативы размещения кинотеатров и кинозалов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8.1. В целях обеспечения доступности для населения киноискусства, на основании полномочий по созданию условий для организации досуга населения, органы местного самоуправления организуют (создают условия) для организации кинозалов.</w:t>
      </w:r>
    </w:p>
    <w:p w:rsidR="00384EBF" w:rsidRDefault="00384EBF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Рекомендуемые нормы и нормативы оптимального размещения</w:t>
      </w:r>
      <w:r>
        <w:rPr>
          <w:sz w:val="28"/>
          <w:szCs w:val="28"/>
        </w:rPr>
        <w:t xml:space="preserve"> кинотеатров и кинозалов:</w:t>
      </w:r>
    </w:p>
    <w:p w:rsidR="00384EBF" w:rsidRDefault="00384EBF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Таблица №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1"/>
        <w:gridCol w:w="2143"/>
        <w:gridCol w:w="1952"/>
        <w:gridCol w:w="1340"/>
        <w:gridCol w:w="1608"/>
      </w:tblGrid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Административно-территориальные уровни обеспечения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Наименование организации, осуществляющей услуги/Тип 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Обеспеченность тыс. чел. на населенный пункт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Единица измерения (сетевая единица)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Доступность</w:t>
            </w:r>
          </w:p>
        </w:tc>
      </w:tr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Городской округ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Кинозал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на 20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Городское поселение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Кинозал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независимо от количества жителей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Транспортная доступность 15- 30 минут</w:t>
            </w:r>
          </w:p>
        </w:tc>
      </w:tr>
      <w:tr w:rsidR="00914FCE" w:rsidRPr="00914FCE" w:rsidTr="00EA6E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Сельское поселение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Кинозал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население от 3 тыс.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8.2. За сетевую единицу принимаются площадки кинопоказа всех форм собственности, а именно кинотеатры и кинозалы, расположенные в специализированном кинотеатре, учреждении культуры, коммерческой организации (торговые центры, бизнес центры и др.). При наличии в кинотеатре нескольких кинозалов, к учету принимается каждый кинозал как сетевая единица.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  <w:r w:rsidRPr="00914FCE">
        <w:rPr>
          <w:sz w:val="28"/>
          <w:szCs w:val="28"/>
        </w:rPr>
        <w:t>8.3. Для населенных пунктов, в которых отсутствуют стационарные кинозалы, органы местного самоуправления организуют кинопоказ на базе передвижных многофункциональных культурных центров.</w:t>
      </w:r>
    </w:p>
    <w:p w:rsidR="008E54F5" w:rsidRPr="00914FCE" w:rsidRDefault="008E54F5">
      <w:pPr>
        <w:rPr>
          <w:sz w:val="28"/>
          <w:szCs w:val="28"/>
        </w:rPr>
      </w:pPr>
      <w:r w:rsidRPr="00914FCE">
        <w:rPr>
          <w:sz w:val="28"/>
          <w:szCs w:val="28"/>
        </w:rPr>
        <w:br w:type="page"/>
      </w:r>
    </w:p>
    <w:p w:rsidR="008E54F5" w:rsidRPr="00914FCE" w:rsidRDefault="008E54F5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  <w:sectPr w:rsidR="008E54F5" w:rsidRPr="00914FCE" w:rsidSect="004947D0">
          <w:footerReference w:type="default" r:id="rId20"/>
          <w:pgSz w:w="11906" w:h="16838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p w:rsidR="00EA6ED1" w:rsidRPr="00914FCE" w:rsidRDefault="00EA6ED1" w:rsidP="00C92CAC">
      <w:pPr>
        <w:shd w:val="clear" w:color="auto" w:fill="FFFFFF"/>
        <w:tabs>
          <w:tab w:val="left" w:pos="858"/>
          <w:tab w:val="left" w:pos="8022"/>
        </w:tabs>
        <w:ind w:left="9923"/>
        <w:jc w:val="both"/>
        <w:rPr>
          <w:sz w:val="28"/>
          <w:szCs w:val="28"/>
        </w:rPr>
      </w:pPr>
      <w:r w:rsidRPr="00914FCE">
        <w:rPr>
          <w:sz w:val="28"/>
          <w:szCs w:val="28"/>
        </w:rPr>
        <w:lastRenderedPageBreak/>
        <w:t>Приложение к методическим рекомендациям</w:t>
      </w:r>
      <w:r w:rsidR="008E54F5" w:rsidRPr="00914FCE">
        <w:rPr>
          <w:sz w:val="28"/>
          <w:szCs w:val="28"/>
        </w:rPr>
        <w:t xml:space="preserve"> </w:t>
      </w:r>
      <w:r w:rsidRPr="00914FCE">
        <w:rPr>
          <w:sz w:val="28"/>
          <w:szCs w:val="28"/>
        </w:rPr>
        <w:t>органам местного самоуправления по развитию сети организаций культуры и обеспеченности населения услугами организаций культуры в Амурской области</w:t>
      </w: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C587A">
      <w:pPr>
        <w:shd w:val="clear" w:color="auto" w:fill="FFFFFF"/>
        <w:tabs>
          <w:tab w:val="left" w:pos="858"/>
          <w:tab w:val="left" w:pos="8022"/>
        </w:tabs>
        <w:ind w:firstLine="709"/>
        <w:jc w:val="center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Таблица расчета посадочных мест на совокупное количество театров на 1 тыс.</w:t>
      </w:r>
      <w:r w:rsidR="00EC587A">
        <w:rPr>
          <w:b/>
          <w:sz w:val="28"/>
          <w:szCs w:val="28"/>
        </w:rPr>
        <w:t xml:space="preserve"> </w:t>
      </w:r>
      <w:r w:rsidRPr="00914FCE">
        <w:rPr>
          <w:b/>
          <w:sz w:val="28"/>
          <w:szCs w:val="28"/>
        </w:rPr>
        <w:t>жителей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0"/>
        <w:gridCol w:w="1212"/>
        <w:gridCol w:w="1084"/>
        <w:gridCol w:w="1084"/>
        <w:gridCol w:w="1084"/>
        <w:gridCol w:w="1084"/>
        <w:gridCol w:w="1084"/>
        <w:gridCol w:w="1208"/>
        <w:gridCol w:w="1208"/>
        <w:gridCol w:w="1208"/>
        <w:gridCol w:w="1330"/>
      </w:tblGrid>
      <w:tr w:rsidR="00914FCE" w:rsidRPr="00914FCE" w:rsidTr="00EA6ED1">
        <w:trPr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 по городскому округу</w:t>
            </w:r>
          </w:p>
        </w:tc>
      </w:tr>
      <w:tr w:rsidR="00914FCE" w:rsidRPr="00914FCE" w:rsidTr="00EC587A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 xml:space="preserve">Количество жителей в городских округах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A6ED1" w:rsidRPr="00914FCE">
              <w:rPr>
                <w:sz w:val="24"/>
                <w:szCs w:val="24"/>
              </w:rPr>
              <w:t>о 10 000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10 000 - 14 999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15 000 - 19 999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20 000 - 29 000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30 000 - 49 999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50 000 - 99 999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100 000 - 149 999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150 000 - 199 999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200 000 - 249 999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250 000</w:t>
            </w:r>
            <w:r w:rsidR="00EA6ED1" w:rsidRPr="00914FCE">
              <w:rPr>
                <w:sz w:val="24"/>
                <w:szCs w:val="24"/>
              </w:rPr>
              <w:t xml:space="preserve"> и более</w:t>
            </w:r>
          </w:p>
        </w:tc>
      </w:tr>
      <w:tr w:rsidR="00914FCE" w:rsidRPr="00914FCE" w:rsidTr="00EC587A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C587A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EA6ED1" w:rsidRPr="00EC587A">
              <w:rPr>
                <w:b/>
                <w:sz w:val="24"/>
                <w:szCs w:val="24"/>
              </w:rPr>
              <w:t>осадочных мест (ед.)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6 - 8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7 - 6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5 - 4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4 - 3</w:t>
            </w: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C587A">
      <w:pPr>
        <w:shd w:val="clear" w:color="auto" w:fill="FFFFFF"/>
        <w:tabs>
          <w:tab w:val="left" w:pos="858"/>
          <w:tab w:val="left" w:pos="8022"/>
        </w:tabs>
        <w:ind w:firstLine="709"/>
        <w:jc w:val="center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Таблица расчета посадочных мест на совокупное количество</w:t>
      </w:r>
      <w:r w:rsidR="00EC587A">
        <w:rPr>
          <w:b/>
          <w:sz w:val="28"/>
          <w:szCs w:val="28"/>
        </w:rPr>
        <w:t xml:space="preserve"> </w:t>
      </w:r>
      <w:r w:rsidRPr="00914FCE">
        <w:rPr>
          <w:b/>
          <w:sz w:val="28"/>
          <w:szCs w:val="28"/>
        </w:rPr>
        <w:t>концертных организаций на 1 тыс. жителей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0"/>
        <w:gridCol w:w="1210"/>
        <w:gridCol w:w="1096"/>
        <w:gridCol w:w="1096"/>
        <w:gridCol w:w="1096"/>
        <w:gridCol w:w="1096"/>
        <w:gridCol w:w="1096"/>
        <w:gridCol w:w="1217"/>
        <w:gridCol w:w="1217"/>
        <w:gridCol w:w="1217"/>
        <w:gridCol w:w="1245"/>
      </w:tblGrid>
      <w:tr w:rsidR="00914FCE" w:rsidRPr="00914FCE" w:rsidTr="00EC587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</w:t>
            </w:r>
          </w:p>
        </w:tc>
        <w:tc>
          <w:tcPr>
            <w:tcW w:w="115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 по городскому поселению / городскому округу</w:t>
            </w:r>
          </w:p>
        </w:tc>
      </w:tr>
      <w:tr w:rsidR="00914FCE" w:rsidRPr="00914FCE" w:rsidTr="00EC587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 xml:space="preserve">Количество жителей в городских округах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До 10 000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10 000 - 14 999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15 000 - 19 999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20 000 - 29 000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30 000 - 49 999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50 000 - 99 999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100 000 - 149 999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150 000 - 199 999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200 000 - 249 999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250 000 и более</w:t>
            </w:r>
          </w:p>
        </w:tc>
      </w:tr>
      <w:tr w:rsidR="00914FCE" w:rsidRPr="00914FCE" w:rsidTr="00EC587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EA6ED1" w:rsidRPr="00EC587A">
              <w:rPr>
                <w:b/>
                <w:sz w:val="24"/>
                <w:szCs w:val="24"/>
              </w:rPr>
              <w:t>осадочных мест (ед.)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6 - 7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7 - 6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6 - 5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5 - 4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ind w:hanging="67"/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4 - 3</w:t>
            </w:r>
          </w:p>
        </w:tc>
      </w:tr>
    </w:tbl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b/>
          <w:sz w:val="28"/>
          <w:szCs w:val="28"/>
        </w:rPr>
      </w:pPr>
    </w:p>
    <w:p w:rsidR="00EA6ED1" w:rsidRPr="00914FCE" w:rsidRDefault="00EA6ED1" w:rsidP="00EC587A">
      <w:pPr>
        <w:shd w:val="clear" w:color="auto" w:fill="FFFFFF"/>
        <w:tabs>
          <w:tab w:val="left" w:pos="858"/>
          <w:tab w:val="left" w:pos="8022"/>
        </w:tabs>
        <w:ind w:firstLine="709"/>
        <w:jc w:val="center"/>
        <w:rPr>
          <w:b/>
          <w:sz w:val="28"/>
          <w:szCs w:val="28"/>
        </w:rPr>
      </w:pPr>
      <w:r w:rsidRPr="00914FCE">
        <w:rPr>
          <w:b/>
          <w:sz w:val="28"/>
          <w:szCs w:val="28"/>
        </w:rPr>
        <w:t>Таблица расчета посадочных мест на совокупное количество учреждений клубного типа в муниципальном образовании</w:t>
      </w:r>
      <w:r w:rsidR="00EC587A">
        <w:rPr>
          <w:b/>
          <w:sz w:val="28"/>
          <w:szCs w:val="28"/>
        </w:rPr>
        <w:t xml:space="preserve"> </w:t>
      </w:r>
      <w:r w:rsidRPr="00914FCE">
        <w:rPr>
          <w:b/>
          <w:sz w:val="28"/>
          <w:szCs w:val="28"/>
        </w:rPr>
        <w:t>на 1 тыс. жителей</w:t>
      </w:r>
    </w:p>
    <w:tbl>
      <w:tblPr>
        <w:tblW w:w="1488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5"/>
        <w:gridCol w:w="1538"/>
        <w:gridCol w:w="1251"/>
        <w:gridCol w:w="1163"/>
        <w:gridCol w:w="1212"/>
        <w:gridCol w:w="1376"/>
        <w:gridCol w:w="1259"/>
        <w:gridCol w:w="1733"/>
        <w:gridCol w:w="1608"/>
      </w:tblGrid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</w:t>
            </w:r>
          </w:p>
        </w:tc>
        <w:tc>
          <w:tcPr>
            <w:tcW w:w="95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 по сельскому поселению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sz w:val="24"/>
                <w:szCs w:val="24"/>
              </w:rPr>
            </w:pP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Количество жителей в сельском поселении</w:t>
            </w:r>
            <w:r w:rsidR="00EC587A">
              <w:rPr>
                <w:b/>
                <w:sz w:val="24"/>
                <w:szCs w:val="24"/>
              </w:rPr>
              <w:t xml:space="preserve"> (чел.)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A6ED1" w:rsidRPr="00914FCE">
              <w:rPr>
                <w:sz w:val="24"/>
                <w:szCs w:val="24"/>
              </w:rPr>
              <w:t xml:space="preserve">о 500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500 - 999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1 000 </w:t>
            </w:r>
            <w:r w:rsidR="00EC587A"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1 999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2 000 </w:t>
            </w:r>
            <w:r w:rsidR="00EC587A"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2 999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3 000 </w:t>
            </w:r>
            <w:r w:rsidR="00EC587A"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4 999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5 000 </w:t>
            </w:r>
            <w:r w:rsidR="00EC587A"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7 000 </w:t>
            </w:r>
            <w:r w:rsidR="00EC587A"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10 000 </w:t>
            </w:r>
            <w:r w:rsidR="00EA6ED1" w:rsidRPr="00914FCE">
              <w:rPr>
                <w:sz w:val="24"/>
                <w:szCs w:val="24"/>
              </w:rPr>
              <w:t>и более</w:t>
            </w: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C587A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EA6ED1" w:rsidRPr="00EC587A">
              <w:rPr>
                <w:b/>
                <w:sz w:val="24"/>
                <w:szCs w:val="24"/>
              </w:rPr>
              <w:t>осадочных мест (ед.)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A6ED1" w:rsidRPr="00914FCE">
              <w:rPr>
                <w:sz w:val="24"/>
                <w:szCs w:val="24"/>
              </w:rPr>
              <w:t>о 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70</w:t>
            </w:r>
          </w:p>
        </w:tc>
      </w:tr>
      <w:tr w:rsidR="00914FCE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 по городскому поселению</w:t>
            </w: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EC587A" w:rsidRDefault="00EA6ED1" w:rsidP="008E54F5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Количество жителей в городском поселении</w:t>
            </w:r>
            <w:r w:rsidR="00EC587A">
              <w:rPr>
                <w:b/>
                <w:sz w:val="24"/>
                <w:szCs w:val="24"/>
              </w:rPr>
              <w:t xml:space="preserve"> (чел.)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До 1 000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187E13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</w:t>
            </w:r>
            <w:r w:rsidR="00EA6ED1" w:rsidRPr="00914FCE">
              <w:rPr>
                <w:sz w:val="24"/>
                <w:szCs w:val="24"/>
              </w:rPr>
              <w:t xml:space="preserve"> 000 </w:t>
            </w:r>
            <w:r w:rsidR="00EC587A">
              <w:rPr>
                <w:sz w:val="24"/>
                <w:szCs w:val="24"/>
              </w:rPr>
              <w:t>-</w:t>
            </w:r>
            <w:r w:rsidR="00EA6ED1"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187E13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</w:t>
            </w:r>
            <w:r w:rsidR="00EA6ED1" w:rsidRPr="00914FCE">
              <w:rPr>
                <w:sz w:val="24"/>
                <w:szCs w:val="24"/>
              </w:rPr>
              <w:t xml:space="preserve"> 999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187E13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3</w:t>
            </w:r>
            <w:r w:rsidR="00EA6ED1" w:rsidRPr="00914FCE">
              <w:rPr>
                <w:sz w:val="24"/>
                <w:szCs w:val="24"/>
              </w:rPr>
              <w:t xml:space="preserve"> 000 </w:t>
            </w:r>
            <w:r w:rsidR="00EC587A">
              <w:rPr>
                <w:sz w:val="24"/>
                <w:szCs w:val="24"/>
              </w:rPr>
              <w:t>-</w:t>
            </w:r>
            <w:r w:rsidR="00EA6ED1"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187E13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3</w:t>
            </w:r>
            <w:r w:rsidR="00EA6ED1" w:rsidRPr="00914FCE">
              <w:rPr>
                <w:sz w:val="24"/>
                <w:szCs w:val="24"/>
              </w:rPr>
              <w:t xml:space="preserve"> 999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187E13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5</w:t>
            </w:r>
            <w:r w:rsidR="00EA6ED1" w:rsidRPr="00914FCE">
              <w:rPr>
                <w:sz w:val="24"/>
                <w:szCs w:val="24"/>
              </w:rPr>
              <w:t xml:space="preserve"> 000 </w:t>
            </w:r>
            <w:r w:rsidR="00EC587A">
              <w:rPr>
                <w:sz w:val="24"/>
                <w:szCs w:val="24"/>
              </w:rPr>
              <w:t>-</w:t>
            </w:r>
            <w:r w:rsidR="00EA6ED1" w:rsidRPr="00914FCE">
              <w:rPr>
                <w:sz w:val="24"/>
                <w:szCs w:val="24"/>
              </w:rPr>
              <w:t xml:space="preserve"> </w:t>
            </w:r>
          </w:p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9 999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10 000 </w:t>
            </w:r>
            <w:r w:rsidR="00EC587A">
              <w:rPr>
                <w:sz w:val="24"/>
                <w:szCs w:val="24"/>
              </w:rPr>
              <w:t xml:space="preserve">- </w:t>
            </w:r>
            <w:r w:rsidRPr="00914FCE">
              <w:rPr>
                <w:sz w:val="24"/>
                <w:szCs w:val="24"/>
              </w:rPr>
              <w:t>20000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ED1" w:rsidRPr="00914FCE" w:rsidRDefault="00EA6ED1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C587A">
              <w:rPr>
                <w:b/>
                <w:sz w:val="24"/>
                <w:szCs w:val="24"/>
              </w:rPr>
              <w:t>осадочных мест (ед.)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85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80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1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Норматив по городскому округу</w:t>
            </w: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 w:rsidRPr="00EC587A">
              <w:rPr>
                <w:b/>
                <w:sz w:val="24"/>
                <w:szCs w:val="24"/>
              </w:rPr>
              <w:t>Количество жителей в городском округе</w:t>
            </w:r>
            <w:r>
              <w:rPr>
                <w:b/>
                <w:sz w:val="24"/>
                <w:szCs w:val="24"/>
              </w:rPr>
              <w:t xml:space="preserve"> (чел.)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До 10 000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10 000 </w:t>
            </w:r>
            <w:r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14 999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15 000 </w:t>
            </w:r>
            <w:r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19 999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20 000 </w:t>
            </w:r>
            <w:r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29 000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30 000 </w:t>
            </w:r>
            <w:r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49 999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 xml:space="preserve">50 000 </w:t>
            </w:r>
            <w:r>
              <w:rPr>
                <w:sz w:val="24"/>
                <w:szCs w:val="24"/>
              </w:rPr>
              <w:t>-</w:t>
            </w:r>
            <w:r w:rsidRPr="00914FCE">
              <w:rPr>
                <w:sz w:val="24"/>
                <w:szCs w:val="24"/>
              </w:rPr>
              <w:t xml:space="preserve"> </w:t>
            </w:r>
          </w:p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99 999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100 000 и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</w:tr>
      <w:tr w:rsidR="00EC587A" w:rsidRPr="00914FCE" w:rsidTr="00EC587A"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EC587A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EC587A">
              <w:rPr>
                <w:b/>
                <w:sz w:val="24"/>
                <w:szCs w:val="24"/>
              </w:rPr>
              <w:t>осадочных мест (ед.)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80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70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65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7A" w:rsidRPr="00914FCE" w:rsidRDefault="00EC587A" w:rsidP="00EC587A">
            <w:pPr>
              <w:shd w:val="clear" w:color="auto" w:fill="FFFFFF"/>
              <w:tabs>
                <w:tab w:val="left" w:pos="858"/>
                <w:tab w:val="left" w:pos="8022"/>
              </w:tabs>
              <w:jc w:val="center"/>
              <w:rPr>
                <w:sz w:val="24"/>
                <w:szCs w:val="24"/>
              </w:rPr>
            </w:pPr>
            <w:r w:rsidRPr="00914FCE">
              <w:rPr>
                <w:sz w:val="24"/>
                <w:szCs w:val="24"/>
              </w:rPr>
              <w:t>Х</w:t>
            </w:r>
          </w:p>
        </w:tc>
      </w:tr>
    </w:tbl>
    <w:p w:rsidR="00EA6ED1" w:rsidRPr="00914FCE" w:rsidRDefault="00EA6ED1" w:rsidP="008E54F5">
      <w:pPr>
        <w:shd w:val="clear" w:color="auto" w:fill="FFFFFF"/>
        <w:tabs>
          <w:tab w:val="left" w:pos="858"/>
          <w:tab w:val="left" w:pos="8022"/>
        </w:tabs>
        <w:jc w:val="both"/>
        <w:rPr>
          <w:sz w:val="28"/>
          <w:szCs w:val="28"/>
        </w:rPr>
      </w:pPr>
    </w:p>
    <w:p w:rsidR="00EA6ED1" w:rsidRPr="00914FCE" w:rsidRDefault="00EA6ED1" w:rsidP="00EA6ED1">
      <w:pPr>
        <w:shd w:val="clear" w:color="auto" w:fill="FFFFFF"/>
        <w:tabs>
          <w:tab w:val="left" w:pos="858"/>
          <w:tab w:val="left" w:pos="8022"/>
        </w:tabs>
        <w:ind w:firstLine="709"/>
        <w:jc w:val="both"/>
        <w:rPr>
          <w:sz w:val="28"/>
          <w:szCs w:val="28"/>
        </w:rPr>
      </w:pPr>
    </w:p>
    <w:sectPr w:rsidR="00EA6ED1" w:rsidRPr="00914FCE" w:rsidSect="008E54F5">
      <w:pgSz w:w="16838" w:h="11906" w:orient="landscape"/>
      <w:pgMar w:top="1701" w:right="1276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74B" w:rsidRDefault="00D0474B">
      <w:r>
        <w:separator/>
      </w:r>
    </w:p>
  </w:endnote>
  <w:endnote w:type="continuationSeparator" w:id="0">
    <w:p w:rsidR="00D0474B" w:rsidRDefault="00D0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897463"/>
      <w:docPartObj>
        <w:docPartGallery w:val="Page Numbers (Bottom of Page)"/>
        <w:docPartUnique/>
      </w:docPartObj>
    </w:sdtPr>
    <w:sdtContent>
      <w:p w:rsidR="004947D0" w:rsidRDefault="004947D0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947D0">
          <w:rPr>
            <w:noProof/>
            <w:lang w:val="ru-RU"/>
          </w:rPr>
          <w:t>1</w:t>
        </w:r>
        <w:r>
          <w:fldChar w:fldCharType="end"/>
        </w:r>
      </w:p>
    </w:sdtContent>
  </w:sdt>
  <w:p w:rsidR="00E65099" w:rsidRDefault="00E65099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74B" w:rsidRDefault="00D0474B">
      <w:r>
        <w:separator/>
      </w:r>
    </w:p>
  </w:footnote>
  <w:footnote w:type="continuationSeparator" w:id="0">
    <w:p w:rsidR="00D0474B" w:rsidRDefault="00D04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A7306"/>
    <w:multiLevelType w:val="hybridMultilevel"/>
    <w:tmpl w:val="EE9A384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F534EAB"/>
    <w:multiLevelType w:val="hybridMultilevel"/>
    <w:tmpl w:val="2828E936"/>
    <w:lvl w:ilvl="0" w:tplc="ED3A53A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33D6D38"/>
    <w:multiLevelType w:val="hybridMultilevel"/>
    <w:tmpl w:val="2B605DEA"/>
    <w:lvl w:ilvl="0" w:tplc="33B28C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73948DD"/>
    <w:multiLevelType w:val="hybridMultilevel"/>
    <w:tmpl w:val="ACAE2A98"/>
    <w:lvl w:ilvl="0" w:tplc="7084D1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B527316"/>
    <w:multiLevelType w:val="hybridMultilevel"/>
    <w:tmpl w:val="0174334C"/>
    <w:lvl w:ilvl="0" w:tplc="751A07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DC57F19"/>
    <w:multiLevelType w:val="hybridMultilevel"/>
    <w:tmpl w:val="B874B0AC"/>
    <w:lvl w:ilvl="0" w:tplc="3DB47C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DB7BFA"/>
    <w:multiLevelType w:val="hybridMultilevel"/>
    <w:tmpl w:val="E054A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D5E98"/>
    <w:multiLevelType w:val="hybridMultilevel"/>
    <w:tmpl w:val="A7E0DFB2"/>
    <w:lvl w:ilvl="0" w:tplc="D33C29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F382C9A"/>
    <w:multiLevelType w:val="hybridMultilevel"/>
    <w:tmpl w:val="3F1A16E2"/>
    <w:lvl w:ilvl="0" w:tplc="524A4144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DD52936"/>
    <w:multiLevelType w:val="hybridMultilevel"/>
    <w:tmpl w:val="D1C284D2"/>
    <w:lvl w:ilvl="0" w:tplc="9398B6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6F2C24"/>
    <w:multiLevelType w:val="hybridMultilevel"/>
    <w:tmpl w:val="3F02A2B0"/>
    <w:lvl w:ilvl="0" w:tplc="50F0700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DFE"/>
    <w:rsid w:val="00006EC4"/>
    <w:rsid w:val="000135A2"/>
    <w:rsid w:val="000141C6"/>
    <w:rsid w:val="000161DD"/>
    <w:rsid w:val="000172BE"/>
    <w:rsid w:val="00021E1E"/>
    <w:rsid w:val="000304BE"/>
    <w:rsid w:val="00031A06"/>
    <w:rsid w:val="00034142"/>
    <w:rsid w:val="00035B2A"/>
    <w:rsid w:val="00035BA0"/>
    <w:rsid w:val="0003722D"/>
    <w:rsid w:val="00040E5F"/>
    <w:rsid w:val="00041276"/>
    <w:rsid w:val="00045BAD"/>
    <w:rsid w:val="000470AC"/>
    <w:rsid w:val="0005414C"/>
    <w:rsid w:val="00060068"/>
    <w:rsid w:val="00060840"/>
    <w:rsid w:val="00062958"/>
    <w:rsid w:val="00063219"/>
    <w:rsid w:val="00067519"/>
    <w:rsid w:val="00084C20"/>
    <w:rsid w:val="00084F86"/>
    <w:rsid w:val="0008758E"/>
    <w:rsid w:val="00091B85"/>
    <w:rsid w:val="000A278F"/>
    <w:rsid w:val="000B01A5"/>
    <w:rsid w:val="000B2FBF"/>
    <w:rsid w:val="000B3E20"/>
    <w:rsid w:val="000C22DF"/>
    <w:rsid w:val="000C2F2F"/>
    <w:rsid w:val="000C41EC"/>
    <w:rsid w:val="000C4B11"/>
    <w:rsid w:val="000D0DEA"/>
    <w:rsid w:val="000D17AB"/>
    <w:rsid w:val="000D33CE"/>
    <w:rsid w:val="000D7DA0"/>
    <w:rsid w:val="000E3B97"/>
    <w:rsid w:val="000E5573"/>
    <w:rsid w:val="000F66A5"/>
    <w:rsid w:val="000F762E"/>
    <w:rsid w:val="001036C4"/>
    <w:rsid w:val="001062C7"/>
    <w:rsid w:val="00106320"/>
    <w:rsid w:val="00107E03"/>
    <w:rsid w:val="00110E60"/>
    <w:rsid w:val="00110ED0"/>
    <w:rsid w:val="001114CF"/>
    <w:rsid w:val="0011496C"/>
    <w:rsid w:val="0011519A"/>
    <w:rsid w:val="0011544C"/>
    <w:rsid w:val="0011572F"/>
    <w:rsid w:val="0011664B"/>
    <w:rsid w:val="001177D9"/>
    <w:rsid w:val="001211D3"/>
    <w:rsid w:val="00131485"/>
    <w:rsid w:val="001431C6"/>
    <w:rsid w:val="00147273"/>
    <w:rsid w:val="001560E4"/>
    <w:rsid w:val="00156822"/>
    <w:rsid w:val="00157656"/>
    <w:rsid w:val="00170315"/>
    <w:rsid w:val="00171BBF"/>
    <w:rsid w:val="0017435C"/>
    <w:rsid w:val="00175F81"/>
    <w:rsid w:val="001824F5"/>
    <w:rsid w:val="001878CA"/>
    <w:rsid w:val="00187A5D"/>
    <w:rsid w:val="00187E13"/>
    <w:rsid w:val="0019436F"/>
    <w:rsid w:val="00197222"/>
    <w:rsid w:val="001973D0"/>
    <w:rsid w:val="00197B51"/>
    <w:rsid w:val="001A315D"/>
    <w:rsid w:val="001A33E9"/>
    <w:rsid w:val="001A380D"/>
    <w:rsid w:val="001A57CD"/>
    <w:rsid w:val="001A5E30"/>
    <w:rsid w:val="001B064B"/>
    <w:rsid w:val="001B42D7"/>
    <w:rsid w:val="001B73D8"/>
    <w:rsid w:val="001C0067"/>
    <w:rsid w:val="001C384B"/>
    <w:rsid w:val="001C45A9"/>
    <w:rsid w:val="001C4F21"/>
    <w:rsid w:val="001C59FA"/>
    <w:rsid w:val="001C5E22"/>
    <w:rsid w:val="001C77E0"/>
    <w:rsid w:val="001E10E1"/>
    <w:rsid w:val="001E2111"/>
    <w:rsid w:val="001E23EE"/>
    <w:rsid w:val="001E419E"/>
    <w:rsid w:val="001E6571"/>
    <w:rsid w:val="001E65CD"/>
    <w:rsid w:val="001E743D"/>
    <w:rsid w:val="001F1101"/>
    <w:rsid w:val="001F41F8"/>
    <w:rsid w:val="001F4D4C"/>
    <w:rsid w:val="00211BAA"/>
    <w:rsid w:val="00212E92"/>
    <w:rsid w:val="00212F0E"/>
    <w:rsid w:val="0021385E"/>
    <w:rsid w:val="00220234"/>
    <w:rsid w:val="00224C86"/>
    <w:rsid w:val="00226A0A"/>
    <w:rsid w:val="0023557A"/>
    <w:rsid w:val="00236430"/>
    <w:rsid w:val="002375C1"/>
    <w:rsid w:val="002434DF"/>
    <w:rsid w:val="0025179E"/>
    <w:rsid w:val="002611AA"/>
    <w:rsid w:val="00272A92"/>
    <w:rsid w:val="00275A53"/>
    <w:rsid w:val="00276AAF"/>
    <w:rsid w:val="00290C1A"/>
    <w:rsid w:val="00290DE1"/>
    <w:rsid w:val="002A2027"/>
    <w:rsid w:val="002A390D"/>
    <w:rsid w:val="002A69D1"/>
    <w:rsid w:val="002A78CD"/>
    <w:rsid w:val="002B1163"/>
    <w:rsid w:val="002B4D38"/>
    <w:rsid w:val="002B6141"/>
    <w:rsid w:val="002B7975"/>
    <w:rsid w:val="002C1688"/>
    <w:rsid w:val="002C3BA9"/>
    <w:rsid w:val="002D5EBF"/>
    <w:rsid w:val="002E25A2"/>
    <w:rsid w:val="002E66AA"/>
    <w:rsid w:val="002F7B82"/>
    <w:rsid w:val="00300F3D"/>
    <w:rsid w:val="00301DE9"/>
    <w:rsid w:val="00303169"/>
    <w:rsid w:val="00303791"/>
    <w:rsid w:val="0030696A"/>
    <w:rsid w:val="00307647"/>
    <w:rsid w:val="00307916"/>
    <w:rsid w:val="00311015"/>
    <w:rsid w:val="00317262"/>
    <w:rsid w:val="003206D1"/>
    <w:rsid w:val="00323AE3"/>
    <w:rsid w:val="00327F44"/>
    <w:rsid w:val="00330FFF"/>
    <w:rsid w:val="0033378B"/>
    <w:rsid w:val="00335ED7"/>
    <w:rsid w:val="003372A5"/>
    <w:rsid w:val="0034122E"/>
    <w:rsid w:val="003454D2"/>
    <w:rsid w:val="00352529"/>
    <w:rsid w:val="0035380E"/>
    <w:rsid w:val="003564CB"/>
    <w:rsid w:val="0035768C"/>
    <w:rsid w:val="0037172C"/>
    <w:rsid w:val="00375D7B"/>
    <w:rsid w:val="00384221"/>
    <w:rsid w:val="00384EBF"/>
    <w:rsid w:val="003855B3"/>
    <w:rsid w:val="003868FB"/>
    <w:rsid w:val="00391CED"/>
    <w:rsid w:val="00394389"/>
    <w:rsid w:val="003946F8"/>
    <w:rsid w:val="003A2A50"/>
    <w:rsid w:val="003A6632"/>
    <w:rsid w:val="003A6F67"/>
    <w:rsid w:val="003A7158"/>
    <w:rsid w:val="003A780D"/>
    <w:rsid w:val="003B1688"/>
    <w:rsid w:val="003B1C25"/>
    <w:rsid w:val="003B2DBA"/>
    <w:rsid w:val="003C0358"/>
    <w:rsid w:val="003C640D"/>
    <w:rsid w:val="003D1C1E"/>
    <w:rsid w:val="003D2429"/>
    <w:rsid w:val="003D3449"/>
    <w:rsid w:val="003D61B3"/>
    <w:rsid w:val="003E04F5"/>
    <w:rsid w:val="003E5AB7"/>
    <w:rsid w:val="003F0468"/>
    <w:rsid w:val="003F22AE"/>
    <w:rsid w:val="003F2390"/>
    <w:rsid w:val="003F4D90"/>
    <w:rsid w:val="003F50D8"/>
    <w:rsid w:val="003F7F65"/>
    <w:rsid w:val="004009D6"/>
    <w:rsid w:val="00401CA6"/>
    <w:rsid w:val="00403FE5"/>
    <w:rsid w:val="004068D2"/>
    <w:rsid w:val="004121F8"/>
    <w:rsid w:val="0041475F"/>
    <w:rsid w:val="00415089"/>
    <w:rsid w:val="00417428"/>
    <w:rsid w:val="004174DC"/>
    <w:rsid w:val="0042173E"/>
    <w:rsid w:val="00421CB5"/>
    <w:rsid w:val="004262C0"/>
    <w:rsid w:val="00427981"/>
    <w:rsid w:val="004301B0"/>
    <w:rsid w:val="00431F4F"/>
    <w:rsid w:val="00432FCA"/>
    <w:rsid w:val="00434D3E"/>
    <w:rsid w:val="00440E0D"/>
    <w:rsid w:val="00442B97"/>
    <w:rsid w:val="00453A88"/>
    <w:rsid w:val="0047054A"/>
    <w:rsid w:val="00473BFA"/>
    <w:rsid w:val="0047789A"/>
    <w:rsid w:val="00484074"/>
    <w:rsid w:val="00485B9F"/>
    <w:rsid w:val="0049156C"/>
    <w:rsid w:val="004947D0"/>
    <w:rsid w:val="00495048"/>
    <w:rsid w:val="004B2493"/>
    <w:rsid w:val="004B4388"/>
    <w:rsid w:val="004B6E04"/>
    <w:rsid w:val="004B6F27"/>
    <w:rsid w:val="004B7910"/>
    <w:rsid w:val="004C2DB9"/>
    <w:rsid w:val="004C67D5"/>
    <w:rsid w:val="004D062A"/>
    <w:rsid w:val="004D0EBC"/>
    <w:rsid w:val="004E0BB3"/>
    <w:rsid w:val="004E1057"/>
    <w:rsid w:val="004F13DC"/>
    <w:rsid w:val="004F19D7"/>
    <w:rsid w:val="004F2915"/>
    <w:rsid w:val="004F376F"/>
    <w:rsid w:val="004F7C21"/>
    <w:rsid w:val="00503ABE"/>
    <w:rsid w:val="00504B49"/>
    <w:rsid w:val="005105BB"/>
    <w:rsid w:val="00516258"/>
    <w:rsid w:val="005264CB"/>
    <w:rsid w:val="005265A9"/>
    <w:rsid w:val="00527320"/>
    <w:rsid w:val="00527D8A"/>
    <w:rsid w:val="00532CC9"/>
    <w:rsid w:val="005346E7"/>
    <w:rsid w:val="00534A48"/>
    <w:rsid w:val="005361D5"/>
    <w:rsid w:val="00540EBE"/>
    <w:rsid w:val="00541D7C"/>
    <w:rsid w:val="00550891"/>
    <w:rsid w:val="0055162B"/>
    <w:rsid w:val="0055493C"/>
    <w:rsid w:val="00563320"/>
    <w:rsid w:val="00566C03"/>
    <w:rsid w:val="005805A8"/>
    <w:rsid w:val="0058139A"/>
    <w:rsid w:val="00582A05"/>
    <w:rsid w:val="00582EDE"/>
    <w:rsid w:val="00587046"/>
    <w:rsid w:val="00592004"/>
    <w:rsid w:val="00592C97"/>
    <w:rsid w:val="00595A9A"/>
    <w:rsid w:val="005A0C9C"/>
    <w:rsid w:val="005A1019"/>
    <w:rsid w:val="005A16D6"/>
    <w:rsid w:val="005A3943"/>
    <w:rsid w:val="005A6AB1"/>
    <w:rsid w:val="005A7B0F"/>
    <w:rsid w:val="005B6A37"/>
    <w:rsid w:val="005C200D"/>
    <w:rsid w:val="005C260C"/>
    <w:rsid w:val="005C2F22"/>
    <w:rsid w:val="005C5013"/>
    <w:rsid w:val="005C68E7"/>
    <w:rsid w:val="005D5A53"/>
    <w:rsid w:val="005D7AFC"/>
    <w:rsid w:val="005E2390"/>
    <w:rsid w:val="005E793A"/>
    <w:rsid w:val="005F1915"/>
    <w:rsid w:val="005F731D"/>
    <w:rsid w:val="005F7C2D"/>
    <w:rsid w:val="006048D9"/>
    <w:rsid w:val="006158B9"/>
    <w:rsid w:val="00623646"/>
    <w:rsid w:val="0062539B"/>
    <w:rsid w:val="00631183"/>
    <w:rsid w:val="00634FB2"/>
    <w:rsid w:val="006361D0"/>
    <w:rsid w:val="006362D3"/>
    <w:rsid w:val="006404B1"/>
    <w:rsid w:val="00640971"/>
    <w:rsid w:val="006436B2"/>
    <w:rsid w:val="00646A0D"/>
    <w:rsid w:val="00650D54"/>
    <w:rsid w:val="00651998"/>
    <w:rsid w:val="006544CA"/>
    <w:rsid w:val="006545E0"/>
    <w:rsid w:val="00657285"/>
    <w:rsid w:val="00661091"/>
    <w:rsid w:val="00662B96"/>
    <w:rsid w:val="00676AAA"/>
    <w:rsid w:val="00677CC8"/>
    <w:rsid w:val="006816AE"/>
    <w:rsid w:val="006834BE"/>
    <w:rsid w:val="00684FB3"/>
    <w:rsid w:val="006879EC"/>
    <w:rsid w:val="00690476"/>
    <w:rsid w:val="0069332F"/>
    <w:rsid w:val="006958A3"/>
    <w:rsid w:val="00696311"/>
    <w:rsid w:val="006A156A"/>
    <w:rsid w:val="006B029F"/>
    <w:rsid w:val="006B4139"/>
    <w:rsid w:val="006C31B4"/>
    <w:rsid w:val="006C55DA"/>
    <w:rsid w:val="006C6D4D"/>
    <w:rsid w:val="006C73C1"/>
    <w:rsid w:val="006D01CE"/>
    <w:rsid w:val="006D14D5"/>
    <w:rsid w:val="006D15CD"/>
    <w:rsid w:val="006D43CC"/>
    <w:rsid w:val="006D51AB"/>
    <w:rsid w:val="006D5996"/>
    <w:rsid w:val="006E4CA0"/>
    <w:rsid w:val="006F04BF"/>
    <w:rsid w:val="006F23F6"/>
    <w:rsid w:val="006F6733"/>
    <w:rsid w:val="006F715D"/>
    <w:rsid w:val="007024B2"/>
    <w:rsid w:val="0070381C"/>
    <w:rsid w:val="00703A72"/>
    <w:rsid w:val="007078A9"/>
    <w:rsid w:val="00722A12"/>
    <w:rsid w:val="0072498A"/>
    <w:rsid w:val="00726868"/>
    <w:rsid w:val="00734439"/>
    <w:rsid w:val="00735229"/>
    <w:rsid w:val="0074276C"/>
    <w:rsid w:val="007433CC"/>
    <w:rsid w:val="0075285C"/>
    <w:rsid w:val="00762410"/>
    <w:rsid w:val="0076515D"/>
    <w:rsid w:val="00765642"/>
    <w:rsid w:val="007658E1"/>
    <w:rsid w:val="00765AD1"/>
    <w:rsid w:val="0077061F"/>
    <w:rsid w:val="0077736F"/>
    <w:rsid w:val="00777AAE"/>
    <w:rsid w:val="00785C18"/>
    <w:rsid w:val="00792E1B"/>
    <w:rsid w:val="00794272"/>
    <w:rsid w:val="0079501E"/>
    <w:rsid w:val="007A1D2F"/>
    <w:rsid w:val="007A2B12"/>
    <w:rsid w:val="007A2D36"/>
    <w:rsid w:val="007A5313"/>
    <w:rsid w:val="007B1FF7"/>
    <w:rsid w:val="007B21DC"/>
    <w:rsid w:val="007B2D1F"/>
    <w:rsid w:val="007B4BC8"/>
    <w:rsid w:val="007C04AE"/>
    <w:rsid w:val="007C1508"/>
    <w:rsid w:val="007C18E0"/>
    <w:rsid w:val="007C30AF"/>
    <w:rsid w:val="007C51CF"/>
    <w:rsid w:val="007C69EF"/>
    <w:rsid w:val="007C6BFA"/>
    <w:rsid w:val="007C7470"/>
    <w:rsid w:val="007D0AD1"/>
    <w:rsid w:val="007E0D66"/>
    <w:rsid w:val="007E29F4"/>
    <w:rsid w:val="007E4790"/>
    <w:rsid w:val="007F207A"/>
    <w:rsid w:val="00800D5E"/>
    <w:rsid w:val="00806560"/>
    <w:rsid w:val="0080754A"/>
    <w:rsid w:val="00807BEB"/>
    <w:rsid w:val="0081228F"/>
    <w:rsid w:val="00814441"/>
    <w:rsid w:val="00815218"/>
    <w:rsid w:val="00815D58"/>
    <w:rsid w:val="00816998"/>
    <w:rsid w:val="0082174E"/>
    <w:rsid w:val="008241C0"/>
    <w:rsid w:val="008242E0"/>
    <w:rsid w:val="008261D6"/>
    <w:rsid w:val="008301E4"/>
    <w:rsid w:val="00831C44"/>
    <w:rsid w:val="0083509F"/>
    <w:rsid w:val="00835B8D"/>
    <w:rsid w:val="00840F07"/>
    <w:rsid w:val="00844A7F"/>
    <w:rsid w:val="00850E83"/>
    <w:rsid w:val="00865144"/>
    <w:rsid w:val="00866CD8"/>
    <w:rsid w:val="00866CE0"/>
    <w:rsid w:val="00866D6D"/>
    <w:rsid w:val="0087142B"/>
    <w:rsid w:val="008726B9"/>
    <w:rsid w:val="00873085"/>
    <w:rsid w:val="008758BA"/>
    <w:rsid w:val="00876DCB"/>
    <w:rsid w:val="00880974"/>
    <w:rsid w:val="00880FE8"/>
    <w:rsid w:val="008910EE"/>
    <w:rsid w:val="008A13CE"/>
    <w:rsid w:val="008A35CD"/>
    <w:rsid w:val="008A48BB"/>
    <w:rsid w:val="008A5DD0"/>
    <w:rsid w:val="008A7569"/>
    <w:rsid w:val="008B1A48"/>
    <w:rsid w:val="008B343F"/>
    <w:rsid w:val="008B7818"/>
    <w:rsid w:val="008C113B"/>
    <w:rsid w:val="008C32E4"/>
    <w:rsid w:val="008C38E2"/>
    <w:rsid w:val="008C3924"/>
    <w:rsid w:val="008C5209"/>
    <w:rsid w:val="008D3BBC"/>
    <w:rsid w:val="008E1572"/>
    <w:rsid w:val="008E32DD"/>
    <w:rsid w:val="008E3ADE"/>
    <w:rsid w:val="008E3B54"/>
    <w:rsid w:val="008E54F5"/>
    <w:rsid w:val="008E555A"/>
    <w:rsid w:val="008F5C8A"/>
    <w:rsid w:val="009069FA"/>
    <w:rsid w:val="009133EB"/>
    <w:rsid w:val="009145DA"/>
    <w:rsid w:val="00914FCE"/>
    <w:rsid w:val="00916C7F"/>
    <w:rsid w:val="00921F01"/>
    <w:rsid w:val="009270B1"/>
    <w:rsid w:val="00927FC4"/>
    <w:rsid w:val="00936586"/>
    <w:rsid w:val="0094211A"/>
    <w:rsid w:val="00942192"/>
    <w:rsid w:val="00942675"/>
    <w:rsid w:val="00945047"/>
    <w:rsid w:val="00952EA4"/>
    <w:rsid w:val="00954D3E"/>
    <w:rsid w:val="00955DAB"/>
    <w:rsid w:val="00955EA1"/>
    <w:rsid w:val="00956591"/>
    <w:rsid w:val="009647E5"/>
    <w:rsid w:val="0098369F"/>
    <w:rsid w:val="00983DBB"/>
    <w:rsid w:val="009954EC"/>
    <w:rsid w:val="009A1B9D"/>
    <w:rsid w:val="009A2E9F"/>
    <w:rsid w:val="009A4FBA"/>
    <w:rsid w:val="009A5FFB"/>
    <w:rsid w:val="009A6B10"/>
    <w:rsid w:val="009B3CFB"/>
    <w:rsid w:val="009B45A0"/>
    <w:rsid w:val="009B6233"/>
    <w:rsid w:val="009B6662"/>
    <w:rsid w:val="009B79F1"/>
    <w:rsid w:val="009C1AC3"/>
    <w:rsid w:val="009C54D7"/>
    <w:rsid w:val="009E6527"/>
    <w:rsid w:val="009E7C36"/>
    <w:rsid w:val="009F0FF1"/>
    <w:rsid w:val="009F2210"/>
    <w:rsid w:val="009F3311"/>
    <w:rsid w:val="009F55A8"/>
    <w:rsid w:val="009F6429"/>
    <w:rsid w:val="00A0323C"/>
    <w:rsid w:val="00A114D8"/>
    <w:rsid w:val="00A17F9F"/>
    <w:rsid w:val="00A20022"/>
    <w:rsid w:val="00A221A9"/>
    <w:rsid w:val="00A27598"/>
    <w:rsid w:val="00A27A84"/>
    <w:rsid w:val="00A3106D"/>
    <w:rsid w:val="00A40BEB"/>
    <w:rsid w:val="00A41C2B"/>
    <w:rsid w:val="00A478CE"/>
    <w:rsid w:val="00A50190"/>
    <w:rsid w:val="00A513C6"/>
    <w:rsid w:val="00A54DAC"/>
    <w:rsid w:val="00A552DD"/>
    <w:rsid w:val="00A642A3"/>
    <w:rsid w:val="00A669B0"/>
    <w:rsid w:val="00A70C28"/>
    <w:rsid w:val="00A75AA6"/>
    <w:rsid w:val="00A764C9"/>
    <w:rsid w:val="00A77B0A"/>
    <w:rsid w:val="00A82102"/>
    <w:rsid w:val="00A90A10"/>
    <w:rsid w:val="00A92F74"/>
    <w:rsid w:val="00A95931"/>
    <w:rsid w:val="00A97ECE"/>
    <w:rsid w:val="00AA2112"/>
    <w:rsid w:val="00AA5443"/>
    <w:rsid w:val="00AA7881"/>
    <w:rsid w:val="00AB0802"/>
    <w:rsid w:val="00AB43A1"/>
    <w:rsid w:val="00AB6405"/>
    <w:rsid w:val="00AB7CD9"/>
    <w:rsid w:val="00AC49BA"/>
    <w:rsid w:val="00AC6A74"/>
    <w:rsid w:val="00AD0787"/>
    <w:rsid w:val="00AD1389"/>
    <w:rsid w:val="00AD167F"/>
    <w:rsid w:val="00AD3427"/>
    <w:rsid w:val="00AD627B"/>
    <w:rsid w:val="00AE40C4"/>
    <w:rsid w:val="00AE60A8"/>
    <w:rsid w:val="00AF11B0"/>
    <w:rsid w:val="00AF71C4"/>
    <w:rsid w:val="00B0433F"/>
    <w:rsid w:val="00B05F96"/>
    <w:rsid w:val="00B10554"/>
    <w:rsid w:val="00B115E1"/>
    <w:rsid w:val="00B1698F"/>
    <w:rsid w:val="00B17AE2"/>
    <w:rsid w:val="00B240C8"/>
    <w:rsid w:val="00B31422"/>
    <w:rsid w:val="00B31952"/>
    <w:rsid w:val="00B33B7C"/>
    <w:rsid w:val="00B34C68"/>
    <w:rsid w:val="00B36DBC"/>
    <w:rsid w:val="00B47050"/>
    <w:rsid w:val="00B4710E"/>
    <w:rsid w:val="00B511E1"/>
    <w:rsid w:val="00B51C4C"/>
    <w:rsid w:val="00B53235"/>
    <w:rsid w:val="00B550F2"/>
    <w:rsid w:val="00B55849"/>
    <w:rsid w:val="00B56A9E"/>
    <w:rsid w:val="00B72243"/>
    <w:rsid w:val="00B725C7"/>
    <w:rsid w:val="00B73724"/>
    <w:rsid w:val="00B80F19"/>
    <w:rsid w:val="00B8285B"/>
    <w:rsid w:val="00B834EF"/>
    <w:rsid w:val="00B85B55"/>
    <w:rsid w:val="00B87923"/>
    <w:rsid w:val="00B90933"/>
    <w:rsid w:val="00B91927"/>
    <w:rsid w:val="00B92131"/>
    <w:rsid w:val="00B93FF9"/>
    <w:rsid w:val="00B94640"/>
    <w:rsid w:val="00B96DE9"/>
    <w:rsid w:val="00B97783"/>
    <w:rsid w:val="00B97E92"/>
    <w:rsid w:val="00BA0DC4"/>
    <w:rsid w:val="00BA59FE"/>
    <w:rsid w:val="00BA6777"/>
    <w:rsid w:val="00BB0EEE"/>
    <w:rsid w:val="00BB2A6E"/>
    <w:rsid w:val="00BC1720"/>
    <w:rsid w:val="00BC46D4"/>
    <w:rsid w:val="00BC744C"/>
    <w:rsid w:val="00BD4199"/>
    <w:rsid w:val="00BE16A6"/>
    <w:rsid w:val="00BE7535"/>
    <w:rsid w:val="00BF1A89"/>
    <w:rsid w:val="00BF33FF"/>
    <w:rsid w:val="00BF3683"/>
    <w:rsid w:val="00BF5633"/>
    <w:rsid w:val="00C01CB2"/>
    <w:rsid w:val="00C033BA"/>
    <w:rsid w:val="00C06252"/>
    <w:rsid w:val="00C118D8"/>
    <w:rsid w:val="00C11A98"/>
    <w:rsid w:val="00C11CE5"/>
    <w:rsid w:val="00C148DE"/>
    <w:rsid w:val="00C209DA"/>
    <w:rsid w:val="00C21156"/>
    <w:rsid w:val="00C25A28"/>
    <w:rsid w:val="00C43E9A"/>
    <w:rsid w:val="00C454B7"/>
    <w:rsid w:val="00C46FF3"/>
    <w:rsid w:val="00C53994"/>
    <w:rsid w:val="00C60C7F"/>
    <w:rsid w:val="00C60E57"/>
    <w:rsid w:val="00C625CF"/>
    <w:rsid w:val="00C63E73"/>
    <w:rsid w:val="00C649B0"/>
    <w:rsid w:val="00C70B9B"/>
    <w:rsid w:val="00C746CE"/>
    <w:rsid w:val="00C82F04"/>
    <w:rsid w:val="00C92CAC"/>
    <w:rsid w:val="00C94068"/>
    <w:rsid w:val="00C960C5"/>
    <w:rsid w:val="00C9789C"/>
    <w:rsid w:val="00CA0114"/>
    <w:rsid w:val="00CA7774"/>
    <w:rsid w:val="00CB0594"/>
    <w:rsid w:val="00CB4093"/>
    <w:rsid w:val="00CB4628"/>
    <w:rsid w:val="00CB65CD"/>
    <w:rsid w:val="00CB6797"/>
    <w:rsid w:val="00CB71AA"/>
    <w:rsid w:val="00CB7E38"/>
    <w:rsid w:val="00CC0A06"/>
    <w:rsid w:val="00CC35BC"/>
    <w:rsid w:val="00CC404F"/>
    <w:rsid w:val="00CC51A6"/>
    <w:rsid w:val="00CC54E7"/>
    <w:rsid w:val="00CC6AAF"/>
    <w:rsid w:val="00CD3445"/>
    <w:rsid w:val="00CD6DAE"/>
    <w:rsid w:val="00CD7372"/>
    <w:rsid w:val="00CF19A1"/>
    <w:rsid w:val="00CF4A39"/>
    <w:rsid w:val="00CF7177"/>
    <w:rsid w:val="00CF79FE"/>
    <w:rsid w:val="00D0112E"/>
    <w:rsid w:val="00D01170"/>
    <w:rsid w:val="00D031B2"/>
    <w:rsid w:val="00D0474B"/>
    <w:rsid w:val="00D04D6A"/>
    <w:rsid w:val="00D05CD2"/>
    <w:rsid w:val="00D076F4"/>
    <w:rsid w:val="00D11C33"/>
    <w:rsid w:val="00D1517B"/>
    <w:rsid w:val="00D164AE"/>
    <w:rsid w:val="00D27A53"/>
    <w:rsid w:val="00D3063F"/>
    <w:rsid w:val="00D30B6B"/>
    <w:rsid w:val="00D31190"/>
    <w:rsid w:val="00D4046F"/>
    <w:rsid w:val="00D416CF"/>
    <w:rsid w:val="00D42A9B"/>
    <w:rsid w:val="00D437A5"/>
    <w:rsid w:val="00D45511"/>
    <w:rsid w:val="00D46444"/>
    <w:rsid w:val="00D50074"/>
    <w:rsid w:val="00D51594"/>
    <w:rsid w:val="00D53FFD"/>
    <w:rsid w:val="00D54061"/>
    <w:rsid w:val="00D54752"/>
    <w:rsid w:val="00D55F0B"/>
    <w:rsid w:val="00D606FB"/>
    <w:rsid w:val="00D66852"/>
    <w:rsid w:val="00D70537"/>
    <w:rsid w:val="00D750CD"/>
    <w:rsid w:val="00D7690E"/>
    <w:rsid w:val="00D82DBD"/>
    <w:rsid w:val="00D83D93"/>
    <w:rsid w:val="00D858B2"/>
    <w:rsid w:val="00D8608B"/>
    <w:rsid w:val="00D90044"/>
    <w:rsid w:val="00D92318"/>
    <w:rsid w:val="00D948B7"/>
    <w:rsid w:val="00D964B2"/>
    <w:rsid w:val="00DA11CF"/>
    <w:rsid w:val="00DA22C8"/>
    <w:rsid w:val="00DA5BC7"/>
    <w:rsid w:val="00DA7FC9"/>
    <w:rsid w:val="00DB0C86"/>
    <w:rsid w:val="00DB24A9"/>
    <w:rsid w:val="00DB36FB"/>
    <w:rsid w:val="00DB5F53"/>
    <w:rsid w:val="00DC061F"/>
    <w:rsid w:val="00DD0F95"/>
    <w:rsid w:val="00DD2F04"/>
    <w:rsid w:val="00DD3255"/>
    <w:rsid w:val="00DD754B"/>
    <w:rsid w:val="00DE0007"/>
    <w:rsid w:val="00DE0D95"/>
    <w:rsid w:val="00DE2AAD"/>
    <w:rsid w:val="00DE64C0"/>
    <w:rsid w:val="00DE745F"/>
    <w:rsid w:val="00DF0316"/>
    <w:rsid w:val="00DF4BBC"/>
    <w:rsid w:val="00DF66C7"/>
    <w:rsid w:val="00E00735"/>
    <w:rsid w:val="00E018EE"/>
    <w:rsid w:val="00E01F91"/>
    <w:rsid w:val="00E023A2"/>
    <w:rsid w:val="00E03599"/>
    <w:rsid w:val="00E11BF9"/>
    <w:rsid w:val="00E11CDD"/>
    <w:rsid w:val="00E16894"/>
    <w:rsid w:val="00E1717F"/>
    <w:rsid w:val="00E24DE3"/>
    <w:rsid w:val="00E27941"/>
    <w:rsid w:val="00E27CB5"/>
    <w:rsid w:val="00E3610C"/>
    <w:rsid w:val="00E432F5"/>
    <w:rsid w:val="00E53B3A"/>
    <w:rsid w:val="00E65099"/>
    <w:rsid w:val="00E66464"/>
    <w:rsid w:val="00E669C2"/>
    <w:rsid w:val="00E73794"/>
    <w:rsid w:val="00E750D0"/>
    <w:rsid w:val="00E77091"/>
    <w:rsid w:val="00E77204"/>
    <w:rsid w:val="00E77F8A"/>
    <w:rsid w:val="00E8020E"/>
    <w:rsid w:val="00E84FE3"/>
    <w:rsid w:val="00E85148"/>
    <w:rsid w:val="00E866FC"/>
    <w:rsid w:val="00E87873"/>
    <w:rsid w:val="00E93F35"/>
    <w:rsid w:val="00E9799F"/>
    <w:rsid w:val="00EA6ED1"/>
    <w:rsid w:val="00EA6F31"/>
    <w:rsid w:val="00EB653B"/>
    <w:rsid w:val="00EC0E6D"/>
    <w:rsid w:val="00EC587A"/>
    <w:rsid w:val="00ED3032"/>
    <w:rsid w:val="00ED5893"/>
    <w:rsid w:val="00EE0EA4"/>
    <w:rsid w:val="00EE2638"/>
    <w:rsid w:val="00EE64FF"/>
    <w:rsid w:val="00EF1177"/>
    <w:rsid w:val="00EF7F7B"/>
    <w:rsid w:val="00F00DFE"/>
    <w:rsid w:val="00F01297"/>
    <w:rsid w:val="00F014A0"/>
    <w:rsid w:val="00F015EF"/>
    <w:rsid w:val="00F020AE"/>
    <w:rsid w:val="00F04CE8"/>
    <w:rsid w:val="00F07093"/>
    <w:rsid w:val="00F14E41"/>
    <w:rsid w:val="00F21AD1"/>
    <w:rsid w:val="00F32D60"/>
    <w:rsid w:val="00F363B7"/>
    <w:rsid w:val="00F45C85"/>
    <w:rsid w:val="00F5079D"/>
    <w:rsid w:val="00F51257"/>
    <w:rsid w:val="00F51EF0"/>
    <w:rsid w:val="00F53893"/>
    <w:rsid w:val="00F53B1E"/>
    <w:rsid w:val="00F562EC"/>
    <w:rsid w:val="00F578FC"/>
    <w:rsid w:val="00F61A06"/>
    <w:rsid w:val="00F67276"/>
    <w:rsid w:val="00F67C9F"/>
    <w:rsid w:val="00F70D2F"/>
    <w:rsid w:val="00F713AD"/>
    <w:rsid w:val="00F77F47"/>
    <w:rsid w:val="00F80A07"/>
    <w:rsid w:val="00F8223C"/>
    <w:rsid w:val="00F85E88"/>
    <w:rsid w:val="00F878E4"/>
    <w:rsid w:val="00F87E2C"/>
    <w:rsid w:val="00F90580"/>
    <w:rsid w:val="00F90B74"/>
    <w:rsid w:val="00F928A9"/>
    <w:rsid w:val="00F92E2C"/>
    <w:rsid w:val="00F9319F"/>
    <w:rsid w:val="00F979D3"/>
    <w:rsid w:val="00FA0353"/>
    <w:rsid w:val="00FA47D6"/>
    <w:rsid w:val="00FA5DED"/>
    <w:rsid w:val="00FA5F8A"/>
    <w:rsid w:val="00FB3152"/>
    <w:rsid w:val="00FC021B"/>
    <w:rsid w:val="00FC4093"/>
    <w:rsid w:val="00FC44AC"/>
    <w:rsid w:val="00FD7EF9"/>
    <w:rsid w:val="00FE1C94"/>
    <w:rsid w:val="00FE3854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801FF3-0E2E-423C-A937-E0B3AF564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DFE"/>
  </w:style>
  <w:style w:type="paragraph" w:styleId="1">
    <w:name w:val="heading 1"/>
    <w:basedOn w:val="a"/>
    <w:next w:val="a"/>
    <w:link w:val="10"/>
    <w:uiPriority w:val="9"/>
    <w:qFormat/>
    <w:rsid w:val="00F00DF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ED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C64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6ED1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6ED1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A6ED1"/>
    <w:pPr>
      <w:spacing w:before="240" w:after="60"/>
      <w:outlineLvl w:val="5"/>
    </w:pPr>
    <w:rPr>
      <w:rFonts w:asciiTheme="minorHAnsi" w:eastAsiaTheme="minorEastAsia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A6ED1"/>
    <w:pPr>
      <w:spacing w:before="240" w:after="60"/>
      <w:outlineLvl w:val="6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A6ED1"/>
    <w:pPr>
      <w:spacing w:before="240" w:after="60"/>
      <w:outlineLvl w:val="7"/>
    </w:pPr>
    <w:rPr>
      <w:rFonts w:asciiTheme="minorHAnsi" w:eastAsiaTheme="minorEastAsia" w:hAnsiTheme="minorHAnsi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A6ED1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ED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C64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link w:val="a4"/>
    <w:uiPriority w:val="10"/>
    <w:qFormat/>
    <w:rsid w:val="00F00DFE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uiPriority w:val="10"/>
    <w:rsid w:val="00EA6ED1"/>
    <w:rPr>
      <w:b/>
      <w:sz w:val="28"/>
    </w:rPr>
  </w:style>
  <w:style w:type="paragraph" w:styleId="a5">
    <w:name w:val="Body Text"/>
    <w:basedOn w:val="a"/>
    <w:link w:val="a6"/>
    <w:rsid w:val="000C41EC"/>
    <w:pPr>
      <w:spacing w:after="120"/>
    </w:pPr>
  </w:style>
  <w:style w:type="character" w:customStyle="1" w:styleId="a6">
    <w:name w:val="Основной текст Знак"/>
    <w:basedOn w:val="a0"/>
    <w:link w:val="a5"/>
    <w:rsid w:val="000C41EC"/>
  </w:style>
  <w:style w:type="paragraph" w:styleId="a7">
    <w:name w:val="Balloon Text"/>
    <w:basedOn w:val="a"/>
    <w:link w:val="a8"/>
    <w:uiPriority w:val="99"/>
    <w:rsid w:val="003C64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3C640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40BEB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A40BEB"/>
    <w:rPr>
      <w:color w:val="808080"/>
    </w:rPr>
  </w:style>
  <w:style w:type="paragraph" w:styleId="ab">
    <w:name w:val="Normal (Web)"/>
    <w:basedOn w:val="a"/>
    <w:uiPriority w:val="99"/>
    <w:unhideWhenUsed/>
    <w:rsid w:val="004C2DB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4C2DB9"/>
    <w:rPr>
      <w:b/>
      <w:bCs/>
    </w:rPr>
  </w:style>
  <w:style w:type="paragraph" w:customStyle="1" w:styleId="ConsPlusNormal">
    <w:name w:val="ConsPlusNormal"/>
    <w:rsid w:val="00EA6ED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d">
    <w:name w:val="Table Grid"/>
    <w:basedOn w:val="a1"/>
    <w:uiPriority w:val="59"/>
    <w:rsid w:val="00EA6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A6ED1"/>
    <w:rPr>
      <w:rFonts w:asciiTheme="majorHAnsi" w:eastAsiaTheme="majorEastAsia" w:hAnsiTheme="majorHAnsi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EA6ED1"/>
    <w:rPr>
      <w:rFonts w:asciiTheme="minorHAnsi" w:eastAsiaTheme="minorEastAsia" w:hAnsiTheme="minorHAnsi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EA6ED1"/>
    <w:rPr>
      <w:rFonts w:asciiTheme="minorHAnsi" w:eastAsiaTheme="minorEastAsia" w:hAnsiTheme="minorHAnsi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EA6ED1"/>
    <w:rPr>
      <w:rFonts w:asciiTheme="minorHAnsi" w:eastAsiaTheme="minorEastAsia" w:hAnsiTheme="minorHAnsi"/>
      <w:b/>
      <w:bCs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EA6ED1"/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EA6ED1"/>
    <w:rPr>
      <w:rFonts w:asciiTheme="minorHAnsi" w:eastAsiaTheme="minorEastAsia" w:hAnsiTheme="minorHAnsi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EA6ED1"/>
    <w:rPr>
      <w:rFonts w:asciiTheme="majorHAnsi" w:eastAsiaTheme="majorEastAsia" w:hAnsiTheme="majorHAnsi"/>
      <w:sz w:val="22"/>
      <w:szCs w:val="22"/>
      <w:lang w:val="en-US" w:eastAsia="en-US" w:bidi="en-US"/>
    </w:rPr>
  </w:style>
  <w:style w:type="paragraph" w:styleId="ae">
    <w:name w:val="No Spacing"/>
    <w:basedOn w:val="a"/>
    <w:uiPriority w:val="1"/>
    <w:qFormat/>
    <w:rsid w:val="00EA6ED1"/>
    <w:rPr>
      <w:rFonts w:asciiTheme="minorHAnsi" w:eastAsiaTheme="minorEastAsia" w:hAnsiTheme="minorHAnsi"/>
      <w:sz w:val="24"/>
      <w:szCs w:val="32"/>
      <w:lang w:val="en-US" w:eastAsia="en-US" w:bidi="en-US"/>
    </w:rPr>
  </w:style>
  <w:style w:type="paragraph" w:styleId="af">
    <w:name w:val="Subtitle"/>
    <w:basedOn w:val="a"/>
    <w:next w:val="a"/>
    <w:link w:val="af0"/>
    <w:uiPriority w:val="11"/>
    <w:qFormat/>
    <w:rsid w:val="00EA6ED1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f0">
    <w:name w:val="Подзаголовок Знак"/>
    <w:basedOn w:val="a0"/>
    <w:link w:val="af"/>
    <w:uiPriority w:val="11"/>
    <w:rsid w:val="00EA6ED1"/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styleId="af1">
    <w:name w:val="Emphasis"/>
    <w:basedOn w:val="a0"/>
    <w:uiPriority w:val="20"/>
    <w:qFormat/>
    <w:rsid w:val="00EA6ED1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EA6ED1"/>
    <w:rPr>
      <w:rFonts w:asciiTheme="minorHAnsi" w:eastAsiaTheme="minorEastAsia" w:hAnsiTheme="minorHAnsi"/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A6ED1"/>
    <w:rPr>
      <w:rFonts w:asciiTheme="minorHAnsi" w:eastAsiaTheme="minorEastAsia" w:hAnsiTheme="minorHAnsi"/>
      <w:i/>
      <w:sz w:val="24"/>
      <w:szCs w:val="24"/>
      <w:lang w:val="en-US" w:eastAsia="en-US" w:bidi="en-US"/>
    </w:rPr>
  </w:style>
  <w:style w:type="paragraph" w:styleId="af2">
    <w:name w:val="Intense Quote"/>
    <w:basedOn w:val="a"/>
    <w:next w:val="a"/>
    <w:link w:val="af3"/>
    <w:uiPriority w:val="30"/>
    <w:qFormat/>
    <w:rsid w:val="00EA6ED1"/>
    <w:pPr>
      <w:ind w:left="720" w:right="720"/>
    </w:pPr>
    <w:rPr>
      <w:rFonts w:asciiTheme="minorHAnsi" w:eastAsiaTheme="minorEastAsia" w:hAnsiTheme="minorHAnsi"/>
      <w:b/>
      <w:i/>
      <w:sz w:val="24"/>
      <w:szCs w:val="22"/>
      <w:lang w:val="en-US" w:eastAsia="en-US" w:bidi="en-US"/>
    </w:rPr>
  </w:style>
  <w:style w:type="character" w:customStyle="1" w:styleId="af3">
    <w:name w:val="Выделенная цитата Знак"/>
    <w:basedOn w:val="a0"/>
    <w:link w:val="af2"/>
    <w:uiPriority w:val="30"/>
    <w:rsid w:val="00EA6ED1"/>
    <w:rPr>
      <w:rFonts w:asciiTheme="minorHAnsi" w:eastAsiaTheme="minorEastAsia" w:hAnsiTheme="minorHAnsi"/>
      <w:b/>
      <w:i/>
      <w:sz w:val="24"/>
      <w:szCs w:val="22"/>
      <w:lang w:val="en-US" w:eastAsia="en-US" w:bidi="en-US"/>
    </w:rPr>
  </w:style>
  <w:style w:type="character" w:styleId="af4">
    <w:name w:val="Subtle Emphasis"/>
    <w:uiPriority w:val="19"/>
    <w:qFormat/>
    <w:rsid w:val="00EA6ED1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EA6ED1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EA6ED1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EA6ED1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EA6ED1"/>
    <w:rPr>
      <w:rFonts w:asciiTheme="majorHAnsi" w:eastAsiaTheme="majorEastAsia" w:hAnsiTheme="majorHAnsi"/>
      <w:b/>
      <w:i/>
      <w:sz w:val="24"/>
      <w:szCs w:val="24"/>
    </w:rPr>
  </w:style>
  <w:style w:type="paragraph" w:styleId="31">
    <w:name w:val="Body Text 3"/>
    <w:basedOn w:val="a"/>
    <w:link w:val="32"/>
    <w:rsid w:val="00EA6ED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A6ED1"/>
    <w:rPr>
      <w:sz w:val="16"/>
      <w:szCs w:val="16"/>
    </w:rPr>
  </w:style>
  <w:style w:type="character" w:customStyle="1" w:styleId="af9">
    <w:name w:val="Основной текст с отступом Знак"/>
    <w:basedOn w:val="a0"/>
    <w:link w:val="afa"/>
    <w:uiPriority w:val="99"/>
    <w:semiHidden/>
    <w:rsid w:val="00EA6ED1"/>
    <w:rPr>
      <w:rFonts w:asciiTheme="minorHAnsi" w:eastAsiaTheme="minorEastAsia" w:hAnsiTheme="minorHAnsi"/>
      <w:sz w:val="24"/>
      <w:szCs w:val="24"/>
      <w:lang w:val="en-US" w:eastAsia="en-US" w:bidi="en-US"/>
    </w:rPr>
  </w:style>
  <w:style w:type="paragraph" w:styleId="afa">
    <w:name w:val="Body Text Indent"/>
    <w:basedOn w:val="a"/>
    <w:link w:val="af9"/>
    <w:uiPriority w:val="99"/>
    <w:semiHidden/>
    <w:unhideWhenUsed/>
    <w:rsid w:val="00EA6ED1"/>
    <w:pPr>
      <w:spacing w:after="120"/>
      <w:ind w:left="283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paragraph" w:styleId="afb">
    <w:name w:val="header"/>
    <w:basedOn w:val="a"/>
    <w:link w:val="afc"/>
    <w:uiPriority w:val="99"/>
    <w:unhideWhenUsed/>
    <w:rsid w:val="00EA6ED1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fc">
    <w:name w:val="Верхний колонтитул Знак"/>
    <w:basedOn w:val="a0"/>
    <w:link w:val="afb"/>
    <w:uiPriority w:val="99"/>
    <w:rsid w:val="00EA6ED1"/>
    <w:rPr>
      <w:rFonts w:asciiTheme="minorHAnsi" w:eastAsiaTheme="minorEastAsia" w:hAnsiTheme="minorHAnsi"/>
      <w:sz w:val="24"/>
      <w:szCs w:val="24"/>
      <w:lang w:val="en-US" w:eastAsia="en-US" w:bidi="en-US"/>
    </w:rPr>
  </w:style>
  <w:style w:type="paragraph" w:styleId="afd">
    <w:name w:val="footer"/>
    <w:basedOn w:val="a"/>
    <w:link w:val="afe"/>
    <w:uiPriority w:val="99"/>
    <w:unhideWhenUsed/>
    <w:rsid w:val="00EA6ED1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fe">
    <w:name w:val="Нижний колонтитул Знак"/>
    <w:basedOn w:val="a0"/>
    <w:link w:val="afd"/>
    <w:uiPriority w:val="99"/>
    <w:rsid w:val="00EA6ED1"/>
    <w:rPr>
      <w:rFonts w:asciiTheme="minorHAnsi" w:eastAsiaTheme="minorEastAsia" w:hAnsiTheme="minorHAnsi"/>
      <w:sz w:val="24"/>
      <w:szCs w:val="24"/>
      <w:lang w:val="en-US" w:eastAsia="en-US" w:bidi="en-US"/>
    </w:rPr>
  </w:style>
  <w:style w:type="paragraph" w:customStyle="1" w:styleId="ConsPlusTitle">
    <w:name w:val="ConsPlusTitle"/>
    <w:rsid w:val="00EA6ED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">
    <w:name w:val="Hyperlink"/>
    <w:basedOn w:val="a0"/>
    <w:uiPriority w:val="99"/>
    <w:unhideWhenUsed/>
    <w:rsid w:val="00EA6ED1"/>
    <w:rPr>
      <w:color w:val="0000FF"/>
      <w:u w:val="single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EA6ED1"/>
    <w:rPr>
      <w:rFonts w:asciiTheme="minorHAnsi" w:eastAsiaTheme="minorEastAsia" w:hAnsiTheme="minorHAnsi"/>
      <w:lang w:val="en-US" w:eastAsia="en-US" w:bidi="en-US"/>
    </w:rPr>
  </w:style>
  <w:style w:type="paragraph" w:styleId="aff1">
    <w:name w:val="annotation text"/>
    <w:basedOn w:val="a"/>
    <w:link w:val="aff0"/>
    <w:uiPriority w:val="99"/>
    <w:semiHidden/>
    <w:unhideWhenUsed/>
    <w:rsid w:val="00EA6ED1"/>
    <w:rPr>
      <w:rFonts w:asciiTheme="minorHAnsi" w:eastAsiaTheme="minorEastAsia" w:hAnsiTheme="minorHAnsi"/>
      <w:lang w:val="en-US" w:eastAsia="en-US" w:bidi="en-US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EA6ED1"/>
    <w:rPr>
      <w:rFonts w:asciiTheme="minorHAnsi" w:eastAsiaTheme="minorEastAsia" w:hAnsiTheme="minorHAnsi"/>
      <w:b/>
      <w:bCs/>
      <w:lang w:val="en-US" w:eastAsia="en-US" w:bidi="en-US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EA6E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694056F1830183B297CA9CF3ABA07B2DD9B9FA1FD5469ACCB885D70A9B6FF8C89AF6F6C2BFnFwDE" TargetMode="External"/><Relationship Id="rId13" Type="http://schemas.openxmlformats.org/officeDocument/2006/relationships/hyperlink" Target="consultantplus://offline/ref=88694056F1830183B297CA9CF3ABA07B2DD3BFFC178311989DED8BD202CB27E886DFFBF5nCw7E" TargetMode="External"/><Relationship Id="rId18" Type="http://schemas.openxmlformats.org/officeDocument/2006/relationships/hyperlink" Target="consultantplus://offline/ref=88694056F1830183B297CA9CF3ABA07B2DD3BFF91D8B11989DED8BD202CB27E886DFFBF7C3B9F611n1w2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8694056F1830183B297CA9CF3ABA07B2DD3BFFC178311989DED8BD202CB27E886DFFBF4nCw0E" TargetMode="External"/><Relationship Id="rId17" Type="http://schemas.openxmlformats.org/officeDocument/2006/relationships/hyperlink" Target="consultantplus://offline/ref=88694056F1830183B297CA9CF3ABA07B2DD3BFF91D8B11989DED8BD202nCwBE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Desktop\&#1085;&#1086;&#1088;&#1084;&#1072;&#1090;&#1080;&#1074;&#1099;\&#1085;&#1086;&#1088;&#1084;&#1072;&#1090;&#1080;&#1074;&#1099;.doc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694056F1830183B297CA9CF3ABA07B2DD3BFFC178311989DED8BD202CB27E886DFFBF7C3B8FF10n1w5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694056F1830183B297CA9CF3ABA07B2DD0BCFD178511989DED8BD202nCwBE" TargetMode="External"/><Relationship Id="rId10" Type="http://schemas.openxmlformats.org/officeDocument/2006/relationships/hyperlink" Target="consultantplus://offline/ref=88694056F1830183B297CA9CF3ABA07B2DD3BFFC178311989DED8BD202CB27E886DFFBF7C3B8FE15n1w3E" TargetMode="External"/><Relationship Id="rId19" Type="http://schemas.openxmlformats.org/officeDocument/2006/relationships/hyperlink" Target="consultantplus://offline/ref=88694056F1830183B297CA9CF3ABA07B2DD3BFF91D8B11989DED8BD202CB27E886DFFBF7C3B9F610n1w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694056F1830183B297CA9CF3ABA07B2DD3BFFC178311989DED8BD202CB27E886DFFBF7C3B8FE12n1w6E" TargetMode="External"/><Relationship Id="rId14" Type="http://schemas.openxmlformats.org/officeDocument/2006/relationships/hyperlink" Target="consultantplus://offline/ref=88694056F1830183B297CA9CF3ABA07B2DD3BFFC178311989DED8BD202CB27E886DFFBF7C4nBwE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6A3A9-9A40-4DAF-9EEE-C1F2F0D0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6778</Words>
  <Characters>38641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2020-09-10T08:41:00Z</cp:lastPrinted>
  <dcterms:created xsi:type="dcterms:W3CDTF">2020-09-18T00:15:00Z</dcterms:created>
  <dcterms:modified xsi:type="dcterms:W3CDTF">2020-09-18T00:15:00Z</dcterms:modified>
</cp:coreProperties>
</file>